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219434</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14 </w:t>
      </w:r>
      <w:r>
        <w:rPr>
          <w:rFonts w:ascii="Arial" w:hAnsi="Arial" w:cs="Arial"/>
          <w:b/>
          <w:bCs/>
          <w:sz w:val="24"/>
          <w:szCs w:val="24"/>
        </w:rPr>
        <w:t>–</w:t>
      </w:r>
      <w:r>
        <w:rPr>
          <w:rFonts w:hint="eastAsia" w:ascii="Arial" w:hAnsi="Arial" w:eastAsia="宋体" w:cs="Arial"/>
          <w:b/>
          <w:bCs/>
          <w:sz w:val="24"/>
          <w:szCs w:val="24"/>
          <w:lang w:val="en-US" w:eastAsia="zh-CN"/>
        </w:rPr>
        <w:t xml:space="preserve"> 18</w:t>
      </w:r>
      <w:r>
        <w:rPr>
          <w:rFonts w:ascii="Arial" w:hAnsi="Arial" w:cs="Arial"/>
          <w:b/>
          <w:bCs/>
          <w:sz w:val="24"/>
          <w:szCs w:val="24"/>
        </w:rPr>
        <w:t xml:space="preserve"> </w:t>
      </w:r>
      <w:r>
        <w:rPr>
          <w:rFonts w:hint="eastAsia" w:ascii="Arial" w:hAnsi="Arial" w:eastAsia="宋体" w:cs="Arial"/>
          <w:b/>
          <w:bCs/>
          <w:sz w:val="24"/>
          <w:szCs w:val="24"/>
          <w:lang w:val="en-US" w:eastAsia="zh-CN"/>
        </w:rPr>
        <w:t>Nov</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scope and scenarios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8.8.3.1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 xml:space="preserve">to identify the requirements to support the </w:t>
      </w:r>
      <w:r>
        <w:rPr>
          <w:lang w:val="en-US"/>
        </w:rPr>
        <w:t>enhanced FR2-1 UEs with simultaneous DL reception from different directions with different QCL TypeD RSs on a single component carrier</w:t>
      </w:r>
      <w:r>
        <w:rPr>
          <w:rFonts w:hint="eastAsia" w:eastAsia="宋体"/>
          <w:lang w:val="en-US" w:eastAsia="zh-CN"/>
        </w:rPr>
        <w:t>. Both RF requirements enhancement and RRM requirements enhancement are involved in the core part. The objective in the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0"/>
              <w:rPr>
                <w:lang w:val="en-US"/>
              </w:rPr>
            </w:pPr>
            <w:r>
              <w:rPr>
                <w:lang w:val="en-US"/>
              </w:rPr>
              <w:t xml:space="preserve">Introduce necessary requirement(s) for enhanced FR2-1 UEs with simultaneous DL reception with two different QCL TypeD RSs </w:t>
            </w:r>
            <w:r>
              <w:rPr>
                <w:highlight w:val="none"/>
                <w:lang w:val="en-US"/>
              </w:rPr>
              <w:t>on single component carrier</w:t>
            </w:r>
            <w:r>
              <w:rPr>
                <w:lang w:val="en-US"/>
              </w:rPr>
              <w:t xml:space="preserve"> with up to 4 layer DL MIMO</w:t>
            </w:r>
          </w:p>
          <w:p>
            <w:pPr>
              <w:numPr>
                <w:ilvl w:val="1"/>
                <w:numId w:val="4"/>
              </w:numPr>
              <w:spacing w:after="0"/>
              <w:rPr>
                <w:lang w:val="en-US"/>
              </w:rPr>
            </w:pPr>
            <w:r>
              <w:rPr>
                <w:rFonts w:hint="eastAsia"/>
                <w:lang w:val="en-US"/>
              </w:rPr>
              <w:t>Enhanced RF requirements:</w:t>
            </w:r>
          </w:p>
          <w:p>
            <w:pPr>
              <w:numPr>
                <w:ilvl w:val="2"/>
                <w:numId w:val="4"/>
              </w:numPr>
              <w:spacing w:after="0"/>
              <w:rPr>
                <w:lang w:val="en-US"/>
              </w:rPr>
            </w:pPr>
            <w:r>
              <w:rPr>
                <w:lang w:val="en-US"/>
              </w:rPr>
              <w:t>Specify RF requirements, mainly spherical coverage requirements, for devices with simultaneous reception from different directions with different QCL TypeD RSs</w:t>
            </w:r>
            <w:bookmarkStart w:id="0" w:name="_Hlk104922953"/>
          </w:p>
          <w:bookmarkEnd w:id="0"/>
          <w:p>
            <w:pPr>
              <w:numPr>
                <w:ilvl w:val="2"/>
                <w:numId w:val="4"/>
              </w:numPr>
              <w:spacing w:after="0"/>
              <w:rPr>
                <w:lang w:val="en-US"/>
              </w:rPr>
            </w:pPr>
            <w:r>
              <w:rPr>
                <w:lang w:val="en-US"/>
              </w:rPr>
              <w:t>The legacy spherical coverage requirement for reception from a single direction will be kept</w:t>
            </w:r>
          </w:p>
          <w:p>
            <w:pPr>
              <w:numPr>
                <w:ilvl w:val="2"/>
                <w:numId w:val="4"/>
              </w:numPr>
              <w:spacing w:after="0"/>
              <w:rPr>
                <w:lang w:val="en-US"/>
              </w:rPr>
            </w:pPr>
            <w:r>
              <w:rPr>
                <w:highlight w:val="none"/>
                <w:lang w:val="en-US"/>
              </w:rPr>
              <w:t>PC3</w:t>
            </w:r>
            <w:r>
              <w:rPr>
                <w:lang w:val="en-US"/>
              </w:rPr>
              <w:t xml:space="preserve"> will be prioritized, other power classes should be considered after the PC3 requirements framework is finalized</w:t>
            </w:r>
          </w:p>
          <w:p>
            <w:pPr>
              <w:numPr>
                <w:ilvl w:val="0"/>
                <w:numId w:val="4"/>
              </w:numPr>
              <w:spacing w:after="0"/>
              <w:rPr>
                <w:lang w:val="en-US"/>
              </w:rPr>
            </w:pPr>
            <w:r>
              <w:rPr>
                <w:lang w:val="en-US"/>
              </w:rPr>
              <w:t>Introduce necessary requirement(s) for enhanced FR2-1 UEs with simultaneous DL reception from different directions with different QCL TypeD RSs on a single component carrier</w:t>
            </w:r>
            <w:r>
              <w:rPr>
                <w:rFonts w:hint="eastAsia" w:eastAsia="宋体"/>
                <w:lang w:val="en-US" w:eastAsia="zh-CN"/>
              </w:rPr>
              <w:t xml:space="preserve">  </w:t>
            </w:r>
          </w:p>
          <w:p>
            <w:pPr>
              <w:numPr>
                <w:ilvl w:val="1"/>
                <w:numId w:val="4"/>
              </w:numPr>
              <w:spacing w:after="0"/>
              <w:rPr>
                <w:lang w:val="en-US"/>
              </w:rPr>
            </w:pPr>
            <w:r>
              <w:rPr>
                <w:rFonts w:hint="eastAsia"/>
                <w:lang w:val="en-US"/>
              </w:rPr>
              <w:t>Enhanced R</w:t>
            </w:r>
            <w:r>
              <w:rPr>
                <w:lang w:val="en-US"/>
              </w:rPr>
              <w:t>RM</w:t>
            </w:r>
            <w:r>
              <w:rPr>
                <w:rFonts w:hint="eastAsia"/>
                <w:lang w:val="en-US"/>
              </w:rPr>
              <w:t xml:space="preserve"> requirements:</w:t>
            </w:r>
          </w:p>
          <w:p>
            <w:pPr>
              <w:numPr>
                <w:ilvl w:val="2"/>
                <w:numId w:val="4"/>
              </w:numPr>
              <w:spacing w:after="0"/>
              <w:rPr>
                <w:lang w:val="en-US"/>
              </w:rPr>
            </w:pPr>
            <w:r>
              <w:rPr>
                <w:rFonts w:hint="eastAsia"/>
                <w:lang w:val="en-US" w:eastAsia="ja-JP"/>
              </w:rPr>
              <w:t>T</w:t>
            </w:r>
            <w:r>
              <w:rPr>
                <w:lang w:val="en-US" w:eastAsia="ja-JP"/>
              </w:rPr>
              <w:t>he following requirements should be studied and specified if necessary:</w:t>
            </w:r>
          </w:p>
          <w:p>
            <w:pPr>
              <w:numPr>
                <w:ilvl w:val="3"/>
                <w:numId w:val="4"/>
              </w:numPr>
              <w:spacing w:after="0"/>
              <w:rPr>
                <w:lang w:val="en-US"/>
              </w:rPr>
            </w:pPr>
            <w:r>
              <w:rPr>
                <w:lang w:val="en-US"/>
              </w:rPr>
              <w:t>L1-RSRP measurement delay</w:t>
            </w:r>
          </w:p>
          <w:p>
            <w:pPr>
              <w:numPr>
                <w:ilvl w:val="3"/>
                <w:numId w:val="4"/>
              </w:numPr>
              <w:spacing w:after="0"/>
              <w:rPr>
                <w:lang w:val="en-US"/>
              </w:rPr>
            </w:pPr>
            <w:r>
              <w:rPr>
                <w:lang w:val="en-US"/>
              </w:rPr>
              <w:t>L3 measurement delay (both cell detection delay and measurement period can be considered)</w:t>
            </w:r>
          </w:p>
          <w:p>
            <w:pPr>
              <w:numPr>
                <w:ilvl w:val="4"/>
                <w:numId w:val="4"/>
              </w:numPr>
              <w:spacing w:after="0"/>
              <w:rPr>
                <w:lang w:val="en-US"/>
              </w:rPr>
            </w:pPr>
            <w:r>
              <w:rPr>
                <w:lang w:val="en-US"/>
              </w:rPr>
              <w:t>The starting point is the enhancements related to L1-RSRP measurement enhancements</w:t>
            </w:r>
          </w:p>
          <w:p>
            <w:pPr>
              <w:numPr>
                <w:ilvl w:val="3"/>
                <w:numId w:val="4"/>
              </w:numPr>
              <w:spacing w:after="0"/>
              <w:rPr>
                <w:lang w:val="en-US"/>
              </w:rPr>
            </w:pPr>
            <w:r>
              <w:rPr>
                <w:lang w:val="en-US"/>
              </w:rPr>
              <w:t>RLM and BFD/CBD requirements</w:t>
            </w:r>
          </w:p>
          <w:p>
            <w:pPr>
              <w:numPr>
                <w:ilvl w:val="3"/>
                <w:numId w:val="4"/>
              </w:numPr>
              <w:spacing w:after="0"/>
              <w:rPr>
                <w:lang w:val="en-US"/>
              </w:rPr>
            </w:pPr>
            <w:r>
              <w:rPr>
                <w:lang w:val="en-US"/>
              </w:rPr>
              <w:t>Scheduling/measurement restrictions</w:t>
            </w:r>
          </w:p>
          <w:p>
            <w:pPr>
              <w:numPr>
                <w:ilvl w:val="3"/>
                <w:numId w:val="4"/>
              </w:numPr>
              <w:spacing w:after="0"/>
              <w:rPr>
                <w:lang w:val="en-US"/>
              </w:rPr>
            </w:pPr>
            <w:r>
              <w:rPr>
                <w:lang w:val="en-US"/>
              </w:rPr>
              <w:t>TCI state switching delay with dual TCI</w:t>
            </w:r>
          </w:p>
          <w:p>
            <w:pPr>
              <w:numPr>
                <w:ilvl w:val="3"/>
                <w:numId w:val="4"/>
              </w:numPr>
              <w:spacing w:after="0"/>
              <w:rPr>
                <w:bCs/>
              </w:rPr>
            </w:pPr>
            <w:r>
              <w:rPr>
                <w:lang w:val="en-US"/>
              </w:rPr>
              <w:t>Receive timing difference between different directions (different QCL Type D RSs)</w:t>
            </w:r>
          </w:p>
          <w:p>
            <w:pPr>
              <w:spacing w:after="0"/>
              <w:rPr>
                <w:bCs/>
                <w:lang w:eastAsia="ja-JP"/>
              </w:rPr>
            </w:pPr>
            <w:r>
              <w:rPr>
                <w:rFonts w:hint="eastAsia"/>
                <w:bCs/>
                <w:lang w:eastAsia="ja-JP"/>
              </w:rPr>
              <w:t>N</w:t>
            </w:r>
            <w:r>
              <w:rPr>
                <w:bCs/>
                <w:lang w:eastAsia="ja-JP"/>
              </w:rPr>
              <w:t>OTE:</w:t>
            </w:r>
          </w:p>
          <w:p>
            <w:pPr>
              <w:numPr>
                <w:ilvl w:val="0"/>
                <w:numId w:val="5"/>
              </w:numPr>
              <w:spacing w:after="0"/>
              <w:rPr>
                <w:rFonts w:hint="eastAsia" w:eastAsia="宋体"/>
                <w:vertAlign w:val="baseline"/>
                <w:lang w:val="en-US" w:eastAsia="zh-CN"/>
              </w:rPr>
            </w:pPr>
            <w:r>
              <w:rPr>
                <w:rFonts w:hint="eastAsia"/>
                <w:bCs/>
                <w:lang w:eastAsia="ja-JP"/>
              </w:rPr>
              <w:t>T</w:t>
            </w:r>
            <w:r>
              <w:rPr>
                <w:bCs/>
                <w:lang w:eastAsia="ja-JP"/>
              </w:rPr>
              <w:t>he case of single TCI is handled as a second priority. Additional aspects related to single TCI can be further revisited.</w:t>
            </w:r>
          </w:p>
        </w:tc>
      </w:tr>
    </w:tbl>
    <w:p>
      <w:pPr>
        <w:pStyle w:val="8"/>
        <w:tabs>
          <w:tab w:val="left" w:pos="226"/>
          <w:tab w:val="left" w:pos="284"/>
          <w:tab w:val="left" w:pos="5103"/>
        </w:tabs>
        <w:snapToGrid w:val="0"/>
        <w:spacing w:before="156" w:beforeLines="50"/>
        <w:rPr>
          <w:rFonts w:hint="eastAsia" w:eastAsia="宋体"/>
          <w:lang w:val="en-US" w:eastAsia="zh-CN"/>
        </w:rPr>
      </w:pPr>
      <w:r>
        <w:rPr>
          <w:rFonts w:hint="eastAsia" w:eastAsia="宋体"/>
          <w:lang w:val="en-US" w:eastAsia="zh-CN"/>
        </w:rPr>
        <w:t xml:space="preserve">In last RAN4 meeting, RAN4 has spread extensive discussion around simultaneous multi-panel/multi-beam reception and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120" w:afterLines="50"/>
              <w:rPr>
                <w:b/>
                <w:bCs/>
                <w:color w:val="0070C0"/>
                <w:szCs w:val="24"/>
                <w:lang w:eastAsia="zh-CN"/>
              </w:rPr>
            </w:pPr>
            <w:r>
              <w:rPr>
                <w:b/>
                <w:bCs/>
                <w:color w:val="0070C0"/>
                <w:szCs w:val="24"/>
                <w:lang w:eastAsia="zh-CN"/>
              </w:rPr>
              <w:t>&lt;Agreement &gt;:</w:t>
            </w:r>
          </w:p>
          <w:p>
            <w:pPr>
              <w:pStyle w:val="27"/>
              <w:numPr>
                <w:ilvl w:val="0"/>
                <w:numId w:val="6"/>
              </w:numPr>
              <w:overflowPunct/>
              <w:autoSpaceDE/>
              <w:autoSpaceDN/>
              <w:adjustRightInd/>
              <w:spacing w:after="120" w:line="259" w:lineRule="auto"/>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RRM requirement of simultaneous DL reception from different directions shall be defined based on the applicable condition to be specified in UE RF session.</w:t>
            </w:r>
          </w:p>
          <w:p>
            <w:pPr>
              <w:pStyle w:val="27"/>
              <w:numPr>
                <w:ilvl w:val="1"/>
                <w:numId w:val="6"/>
              </w:numPr>
              <w:overflowPunct/>
              <w:autoSpaceDE/>
              <w:autoSpaceDN/>
              <w:adjustRightInd/>
              <w:spacing w:after="120" w:line="259" w:lineRule="auto"/>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FFS the relation between the applicability condition and RRM requirement impacts</w:t>
            </w:r>
          </w:p>
          <w:p>
            <w:pPr>
              <w:spacing w:after="120" w:afterLines="50"/>
              <w:rPr>
                <w:rFonts w:eastAsiaTheme="minorEastAsia"/>
                <w:b/>
                <w:bCs/>
                <w:i/>
                <w:color w:val="0070C0"/>
                <w:lang w:eastAsia="zh-CN"/>
              </w:rPr>
            </w:pPr>
            <w:r>
              <w:rPr>
                <w:b/>
                <w:bCs/>
                <w:color w:val="0070C0"/>
                <w:szCs w:val="24"/>
                <w:lang w:eastAsia="zh-CN"/>
              </w:rPr>
              <w:t>&lt;Agreement &gt;:</w:t>
            </w:r>
          </w:p>
          <w:p>
            <w:pPr>
              <w:pStyle w:val="27"/>
              <w:numPr>
                <w:ilvl w:val="0"/>
                <w:numId w:val="6"/>
              </w:numPr>
              <w:overflowPunct/>
              <w:autoSpaceDE/>
              <w:autoSpaceDN/>
              <w:adjustRightInd/>
              <w:spacing w:after="120" w:line="259" w:lineRule="auto"/>
              <w:ind w:firstLineChars="0"/>
              <w:textAlignment w:val="auto"/>
              <w:rPr>
                <w:rFonts w:hint="eastAsia" w:eastAsia="宋体"/>
                <w:vertAlign w:val="baseline"/>
                <w:lang w:val="en-US" w:eastAsia="zh-CN"/>
              </w:rPr>
            </w:pPr>
            <w:r>
              <w:rPr>
                <w:rFonts w:eastAsia="宋体"/>
                <w:color w:val="000000" w:themeColor="text1"/>
                <w:szCs w:val="24"/>
                <w:lang w:eastAsia="zh-CN"/>
                <w14:textFill>
                  <w14:solidFill>
                    <w14:schemeClr w14:val="tx1"/>
                  </w14:solidFill>
                </w14:textFill>
              </w:rPr>
              <w:t>To clarify the requirement in new section that R18 multi-Rx is applicable for FR2-1 only, i.e., no FR2-2.</w:t>
            </w:r>
          </w:p>
        </w:tc>
      </w:tr>
    </w:tbl>
    <w:p>
      <w:pPr>
        <w:pStyle w:val="8"/>
        <w:tabs>
          <w:tab w:val="left" w:pos="226"/>
          <w:tab w:val="left" w:pos="284"/>
          <w:tab w:val="left" w:pos="5103"/>
        </w:tabs>
        <w:snapToGrid w:val="0"/>
        <w:spacing w:before="156" w:beforeLines="50"/>
        <w:rPr>
          <w:rFonts w:hint="default" w:eastAsia="宋体"/>
          <w:kern w:val="2"/>
          <w:sz w:val="20"/>
          <w:szCs w:val="20"/>
          <w:lang w:val="en-US" w:eastAsia="zh-CN"/>
        </w:rPr>
      </w:pPr>
      <w:r>
        <w:rPr>
          <w:rFonts w:hint="eastAsia" w:eastAsia="宋体"/>
          <w:lang w:val="en-US" w:eastAsia="zh-CN"/>
        </w:rPr>
        <w:t xml:space="preserve">Still multiple issues were suspending. In this document, we provide our further analysis focus on the applicability, condition, and UE capability aspects.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rPr>
          <w:b w:val="0"/>
          <w:bCs/>
          <w:color w:val="000000" w:themeColor="text1"/>
          <w:u w:val="single"/>
          <w:lang w:eastAsia="ko-KR"/>
          <w14:textFill>
            <w14:solidFill>
              <w14:schemeClr w14:val="tx1"/>
            </w14:solidFill>
          </w14:textFill>
        </w:rPr>
      </w:pPr>
      <w:r>
        <w:rPr>
          <w:b w:val="0"/>
          <w:bCs/>
          <w:color w:val="000000" w:themeColor="text1"/>
          <w:u w:val="single"/>
          <w:lang w:eastAsia="ko-KR"/>
          <w14:textFill>
            <w14:solidFill>
              <w14:schemeClr w14:val="tx1"/>
            </w14:solidFill>
          </w14:textFill>
        </w:rPr>
        <w:t>Applicability of new requirements to different QCL types</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Regarding this issue, the following options were discussed during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numPr>
                <w:ilvl w:val="0"/>
                <w:numId w:val="6"/>
              </w:numPr>
              <w:overflowPunct/>
              <w:autoSpaceDE/>
              <w:autoSpaceDN/>
              <w:adjustRightInd/>
              <w:spacing w:after="120" w:line="259" w:lineRule="auto"/>
              <w:ind w:left="1020" w:leftChars="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 FFS whether requirements defined for QCL type-D only are also applicable when QCL type D is configured together with QCL type A/C</w:t>
            </w:r>
          </w:p>
          <w:p>
            <w:pPr>
              <w:pStyle w:val="27"/>
              <w:numPr>
                <w:ilvl w:val="0"/>
                <w:numId w:val="6"/>
              </w:numPr>
              <w:overflowPunct/>
              <w:autoSpaceDE/>
              <w:autoSpaceDN/>
              <w:adjustRightInd/>
              <w:spacing w:after="120" w:line="259" w:lineRule="auto"/>
              <w:ind w:left="1020" w:leftChars="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 Whether or not the new RRM requirement for the feature of simultaneous DL reception from different directions shall be applicable is irrelevant to the TCI configuration of other QCL type.</w:t>
            </w:r>
          </w:p>
          <w:p>
            <w:pPr>
              <w:pStyle w:val="27"/>
              <w:numPr>
                <w:ilvl w:val="0"/>
                <w:numId w:val="6"/>
              </w:numPr>
              <w:overflowPunct/>
              <w:autoSpaceDE/>
              <w:autoSpaceDN/>
              <w:adjustRightInd/>
              <w:spacing w:after="120" w:line="259" w:lineRule="auto"/>
              <w:ind w:left="1020" w:leftChars="0" w:firstLineChars="0"/>
              <w:textAlignment w:val="auto"/>
              <w:rPr>
                <w:rFonts w:hint="default" w:eastAsia="宋体"/>
                <w:color w:val="auto"/>
                <w:sz w:val="21"/>
                <w:szCs w:val="21"/>
                <w:vertAlign w:val="baseline"/>
                <w:lang w:val="en-US" w:eastAsia="zh-CN"/>
              </w:rPr>
            </w:pPr>
            <w:r>
              <w:rPr>
                <w:rFonts w:eastAsia="宋体"/>
                <w:color w:val="000000" w:themeColor="text1"/>
                <w:szCs w:val="24"/>
                <w:lang w:eastAsia="zh-CN"/>
                <w14:textFill>
                  <w14:solidFill>
                    <w14:schemeClr w14:val="tx1"/>
                  </w14:solidFill>
                </w14:textFill>
              </w:rPr>
              <w:t>Option 3 : In addition to QCL type D, the two RSs may also be configured with QCL type A or QCL type C.</w:t>
            </w:r>
          </w:p>
        </w:tc>
      </w:tr>
    </w:tbl>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Only QCI Type D was referred in the WI. But it is possible that other QCL info such as QCL Type A and QCL Type C are possible along with the indication of QCL Type D especially for the UE moving case and inter-cell scenario. Even though such two QCL types are not referred by the WI, in fact they would be configured in a TCI state with QCL Type D. For FR2, QCL Type A/C are mandatory QCL type configured in a TCI state while QCL Type D is optional. So we believe this issue is meaningful and the RRM requirements for the simultaneous DL reception from different QCL Type D shall also applicable to QCL Type A/C.</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From the perspective of configuration, QCL Type A/C are mandatory in a TCI state configuration while QCL Type D is optional.</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Considering the UE moving and inter-cell scenario, the potential impact due to QCL Type A/C are need to be included when we discuss the RRM enhancement for the simultaneous DL reception.</w:t>
      </w:r>
    </w:p>
    <w:p>
      <w:pPr>
        <w:rPr>
          <w:rFonts w:hint="eastAsia" w:eastAsia="宋体"/>
          <w:color w:val="auto"/>
          <w:lang w:eastAsia="zh-CN"/>
        </w:rPr>
      </w:pPr>
    </w:p>
    <w:p>
      <w:pPr>
        <w:rPr>
          <w:b w:val="0"/>
          <w:bCs/>
          <w:color w:val="000000" w:themeColor="text1"/>
          <w:u w:val="single"/>
          <w:lang w:eastAsia="ko-KR"/>
          <w14:textFill>
            <w14:solidFill>
              <w14:schemeClr w14:val="tx1"/>
            </w14:solidFill>
          </w14:textFill>
        </w:rPr>
      </w:pPr>
      <w:r>
        <w:rPr>
          <w:b w:val="0"/>
          <w:bCs/>
          <w:color w:val="000000" w:themeColor="text1"/>
          <w:u w:val="single"/>
          <w:lang w:eastAsia="ko-KR"/>
          <w14:textFill>
            <w14:solidFill>
              <w14:schemeClr w14:val="tx1"/>
            </w14:solidFill>
          </w14:textFill>
        </w:rPr>
        <w:t>Applicability of requirements for serving cell</w:t>
      </w:r>
    </w:p>
    <w:p>
      <w:pPr>
        <w:pStyle w:val="8"/>
        <w:tabs>
          <w:tab w:val="left" w:pos="226"/>
          <w:tab w:val="left" w:pos="284"/>
          <w:tab w:val="left" w:pos="5103"/>
        </w:tabs>
        <w:snapToGrid w:val="0"/>
        <w:spacing w:before="156" w:beforeLines="50"/>
        <w:rPr>
          <w:rFonts w:hint="eastAsia" w:eastAsia="宋体"/>
          <w:b/>
          <w:color w:val="000000" w:themeColor="text1"/>
          <w:u w:val="single"/>
          <w:lang w:val="en-US" w:eastAsia="zh-CN"/>
          <w14:textFill>
            <w14:solidFill>
              <w14:schemeClr w14:val="tx1"/>
            </w14:solidFill>
          </w14:textFill>
        </w:rPr>
      </w:pPr>
      <w:r>
        <w:rPr>
          <w:rFonts w:hint="eastAsia" w:eastAsia="宋体"/>
          <w:color w:val="auto"/>
          <w:sz w:val="21"/>
          <w:szCs w:val="21"/>
          <w:lang w:val="en-US" w:eastAsia="zh-CN"/>
        </w:rPr>
        <w:t>Around this issue, the following two options were kept in the WF[2]: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numPr>
                <w:ilvl w:val="0"/>
                <w:numId w:val="6"/>
              </w:numPr>
              <w:overflowPunct/>
              <w:autoSpaceDE/>
              <w:autoSpaceDN/>
              <w:adjustRightInd/>
              <w:spacing w:after="120" w:line="259" w:lineRule="auto"/>
              <w:ind w:left="1020" w:leftChars="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The simultaneously received RSs may also be from a non-serving cell</w:t>
            </w:r>
          </w:p>
          <w:p>
            <w:pPr>
              <w:pStyle w:val="27"/>
              <w:numPr>
                <w:ilvl w:val="0"/>
                <w:numId w:val="6"/>
              </w:numPr>
              <w:overflowPunct/>
              <w:autoSpaceDE/>
              <w:autoSpaceDN/>
              <w:adjustRightInd/>
              <w:spacing w:after="120" w:line="259" w:lineRule="auto"/>
              <w:ind w:left="1020" w:leftChars="0" w:firstLineChars="0"/>
              <w:textAlignment w:val="auto"/>
              <w:rPr>
                <w:rFonts w:hint="eastAsia" w:eastAsia="宋体"/>
                <w:b/>
                <w:color w:val="000000" w:themeColor="text1"/>
                <w:u w:val="single"/>
                <w:vertAlign w:val="baseline"/>
                <w:lang w:val="en-US"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Down-prioritized.</w:t>
            </w:r>
          </w:p>
        </w:tc>
      </w:tr>
    </w:tbl>
    <w:p>
      <w:pPr>
        <w:pStyle w:val="8"/>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If the scenario of inter-cell mTRP is decided to be included in the WI, then simultaneous reception of RSs from a non-serving cell is possible. Simultaneous reception of RSs or data or the combination of them from serving cell, non-serving cell, or the combination of serving cell and non-serving cell, whether all these candidates are supported or only partial of them are supported in the WI, which should be identified. We listed all combinations as below:</w:t>
      </w:r>
    </w:p>
    <w:p>
      <w:pPr>
        <w:pStyle w:val="8"/>
        <w:tabs>
          <w:tab w:val="left" w:pos="226"/>
          <w:tab w:val="left" w:pos="284"/>
          <w:tab w:val="left" w:pos="5103"/>
        </w:tabs>
        <w:snapToGrid w:val="0"/>
        <w:spacing w:before="156" w:beforeLines="50"/>
        <w:rPr>
          <w:rFonts w:hint="default" w:eastAsia="宋体"/>
          <w:color w:val="auto"/>
          <w:sz w:val="21"/>
          <w:szCs w:val="21"/>
          <w:highlight w:val="cyan"/>
          <w:lang w:val="en-US" w:eastAsia="zh-CN"/>
        </w:rPr>
      </w:pPr>
      <w:r>
        <w:rPr>
          <w:rFonts w:hint="eastAsia" w:eastAsia="宋体"/>
          <w:color w:val="auto"/>
          <w:sz w:val="21"/>
          <w:szCs w:val="21"/>
          <w:highlight w:val="cyan"/>
          <w:lang w:val="en-US" w:eastAsia="zh-CN"/>
        </w:rPr>
        <w:t xml:space="preserve">Simultaneous RS + RS under intra-cell mTRP   </w:t>
      </w:r>
    </w:p>
    <w:p>
      <w:pPr>
        <w:pStyle w:val="8"/>
        <w:tabs>
          <w:tab w:val="left" w:pos="226"/>
          <w:tab w:val="left" w:pos="284"/>
          <w:tab w:val="left" w:pos="5103"/>
        </w:tabs>
        <w:snapToGrid w:val="0"/>
        <w:spacing w:before="156" w:beforeLines="50"/>
        <w:rPr>
          <w:rFonts w:hint="eastAsia" w:eastAsia="宋体"/>
          <w:color w:val="auto"/>
          <w:sz w:val="21"/>
          <w:szCs w:val="21"/>
          <w:highlight w:val="cyan"/>
          <w:lang w:val="en-US" w:eastAsia="zh-CN"/>
        </w:rPr>
      </w:pPr>
      <w:r>
        <w:rPr>
          <w:rFonts w:hint="eastAsia" w:eastAsia="宋体"/>
          <w:color w:val="auto"/>
          <w:sz w:val="21"/>
          <w:szCs w:val="21"/>
          <w:highlight w:val="cyan"/>
          <w:lang w:val="en-US" w:eastAsia="zh-CN"/>
        </w:rPr>
        <w:t>Simultaneous data + data under intra-cell mTRP</w:t>
      </w:r>
    </w:p>
    <w:p>
      <w:pPr>
        <w:pStyle w:val="8"/>
        <w:tabs>
          <w:tab w:val="left" w:pos="226"/>
          <w:tab w:val="left" w:pos="284"/>
          <w:tab w:val="left" w:pos="5103"/>
        </w:tabs>
        <w:snapToGrid w:val="0"/>
        <w:spacing w:before="156" w:beforeLines="50"/>
        <w:rPr>
          <w:rFonts w:hint="eastAsia" w:eastAsia="宋体"/>
          <w:color w:val="auto"/>
          <w:sz w:val="21"/>
          <w:szCs w:val="21"/>
          <w:highlight w:val="cyan"/>
          <w:lang w:val="en-US" w:eastAsia="zh-CN"/>
        </w:rPr>
      </w:pPr>
      <w:r>
        <w:rPr>
          <w:rFonts w:hint="eastAsia" w:eastAsia="宋体"/>
          <w:color w:val="auto"/>
          <w:sz w:val="21"/>
          <w:szCs w:val="21"/>
          <w:highlight w:val="cyan"/>
          <w:lang w:val="en-US" w:eastAsia="zh-CN"/>
        </w:rPr>
        <w:t>Simultaneous RS + data under intra-cell mTRP</w:t>
      </w:r>
    </w:p>
    <w:p>
      <w:pPr>
        <w:pStyle w:val="8"/>
        <w:tabs>
          <w:tab w:val="left" w:pos="226"/>
          <w:tab w:val="left" w:pos="284"/>
          <w:tab w:val="left" w:pos="5103"/>
        </w:tabs>
        <w:snapToGrid w:val="0"/>
        <w:spacing w:before="156" w:beforeLines="50"/>
        <w:rPr>
          <w:rFonts w:hint="default" w:eastAsia="宋体"/>
          <w:color w:val="auto"/>
          <w:sz w:val="21"/>
          <w:szCs w:val="21"/>
          <w:highlight w:val="yellow"/>
          <w:lang w:val="en-US" w:eastAsia="zh-CN"/>
        </w:rPr>
      </w:pPr>
      <w:r>
        <w:rPr>
          <w:rFonts w:hint="eastAsia" w:eastAsia="宋体"/>
          <w:color w:val="auto"/>
          <w:sz w:val="21"/>
          <w:szCs w:val="21"/>
          <w:highlight w:val="yellow"/>
          <w:lang w:val="en-US" w:eastAsia="zh-CN"/>
        </w:rPr>
        <w:t>Simultaneous RS + RS under inter-cell mTRP from serving cell</w:t>
      </w:r>
    </w:p>
    <w:p>
      <w:pPr>
        <w:pStyle w:val="8"/>
        <w:tabs>
          <w:tab w:val="left" w:pos="226"/>
          <w:tab w:val="left" w:pos="284"/>
          <w:tab w:val="left" w:pos="5103"/>
        </w:tabs>
        <w:snapToGrid w:val="0"/>
        <w:spacing w:before="156" w:beforeLines="50"/>
        <w:rPr>
          <w:rFonts w:hint="default" w:eastAsia="宋体"/>
          <w:color w:val="auto"/>
          <w:sz w:val="21"/>
          <w:szCs w:val="21"/>
          <w:highlight w:val="yellow"/>
          <w:lang w:val="en-US" w:eastAsia="zh-CN"/>
        </w:rPr>
      </w:pPr>
      <w:r>
        <w:rPr>
          <w:rFonts w:hint="eastAsia" w:eastAsia="宋体"/>
          <w:color w:val="auto"/>
          <w:sz w:val="21"/>
          <w:szCs w:val="21"/>
          <w:highlight w:val="yellow"/>
          <w:lang w:val="en-US" w:eastAsia="zh-CN"/>
        </w:rPr>
        <w:t>Simultaneous data + data under inter-cell mTRP from serving cell</w:t>
      </w:r>
    </w:p>
    <w:p>
      <w:pPr>
        <w:pStyle w:val="8"/>
        <w:tabs>
          <w:tab w:val="left" w:pos="226"/>
          <w:tab w:val="left" w:pos="284"/>
          <w:tab w:val="left" w:pos="5103"/>
        </w:tabs>
        <w:snapToGrid w:val="0"/>
        <w:spacing w:before="156" w:beforeLines="50"/>
        <w:rPr>
          <w:rFonts w:hint="eastAsia" w:eastAsia="宋体"/>
          <w:color w:val="auto"/>
          <w:sz w:val="21"/>
          <w:szCs w:val="21"/>
          <w:highlight w:val="yellow"/>
          <w:lang w:val="en-US" w:eastAsia="zh-CN"/>
        </w:rPr>
      </w:pPr>
      <w:r>
        <w:rPr>
          <w:rFonts w:hint="eastAsia" w:eastAsia="宋体"/>
          <w:color w:val="auto"/>
          <w:sz w:val="21"/>
          <w:szCs w:val="21"/>
          <w:highlight w:val="yellow"/>
          <w:lang w:val="en-US" w:eastAsia="zh-CN"/>
        </w:rPr>
        <w:t>Simultaneous RS + data under inter-cell mTRP from serving cell</w:t>
      </w:r>
    </w:p>
    <w:p>
      <w:pPr>
        <w:pStyle w:val="8"/>
        <w:tabs>
          <w:tab w:val="left" w:pos="226"/>
          <w:tab w:val="left" w:pos="284"/>
          <w:tab w:val="left" w:pos="5103"/>
        </w:tabs>
        <w:snapToGrid w:val="0"/>
        <w:spacing w:before="156" w:beforeLines="50"/>
        <w:rPr>
          <w:rFonts w:hint="default" w:eastAsia="宋体"/>
          <w:color w:val="auto"/>
          <w:sz w:val="21"/>
          <w:szCs w:val="21"/>
          <w:highlight w:val="lightGray"/>
          <w:lang w:val="en-US" w:eastAsia="zh-CN"/>
        </w:rPr>
      </w:pPr>
      <w:r>
        <w:rPr>
          <w:rFonts w:hint="eastAsia" w:eastAsia="宋体"/>
          <w:color w:val="auto"/>
          <w:sz w:val="21"/>
          <w:szCs w:val="21"/>
          <w:highlight w:val="lightGray"/>
          <w:lang w:val="en-US" w:eastAsia="zh-CN"/>
        </w:rPr>
        <w:t>Simultaneous RS + RS under inter-cell mTRP from a non-serving cell</w:t>
      </w:r>
    </w:p>
    <w:p>
      <w:pPr>
        <w:pStyle w:val="8"/>
        <w:tabs>
          <w:tab w:val="left" w:pos="226"/>
          <w:tab w:val="left" w:pos="284"/>
          <w:tab w:val="left" w:pos="5103"/>
        </w:tabs>
        <w:snapToGrid w:val="0"/>
        <w:spacing w:before="156" w:beforeLines="50"/>
        <w:rPr>
          <w:rFonts w:hint="default" w:eastAsia="宋体"/>
          <w:color w:val="auto"/>
          <w:sz w:val="21"/>
          <w:szCs w:val="21"/>
          <w:highlight w:val="lightGray"/>
          <w:lang w:val="en-US" w:eastAsia="zh-CN"/>
        </w:rPr>
      </w:pPr>
      <w:r>
        <w:rPr>
          <w:rFonts w:hint="eastAsia" w:eastAsia="宋体"/>
          <w:color w:val="auto"/>
          <w:sz w:val="21"/>
          <w:szCs w:val="21"/>
          <w:highlight w:val="lightGray"/>
          <w:lang w:val="en-US" w:eastAsia="zh-CN"/>
        </w:rPr>
        <w:t>Simultaneous data + data under inter-cell mTRP from a non-serving cell</w:t>
      </w:r>
    </w:p>
    <w:p>
      <w:pPr>
        <w:pStyle w:val="8"/>
        <w:tabs>
          <w:tab w:val="left" w:pos="226"/>
          <w:tab w:val="left" w:pos="284"/>
          <w:tab w:val="left" w:pos="5103"/>
        </w:tabs>
        <w:snapToGrid w:val="0"/>
        <w:spacing w:before="156" w:beforeLines="50"/>
        <w:rPr>
          <w:rFonts w:hint="default" w:eastAsia="宋体"/>
          <w:color w:val="auto"/>
          <w:sz w:val="21"/>
          <w:szCs w:val="21"/>
          <w:highlight w:val="lightGray"/>
          <w:lang w:val="en-US" w:eastAsia="zh-CN"/>
        </w:rPr>
      </w:pPr>
      <w:r>
        <w:rPr>
          <w:rFonts w:hint="eastAsia" w:eastAsia="宋体"/>
          <w:color w:val="auto"/>
          <w:sz w:val="21"/>
          <w:szCs w:val="21"/>
          <w:highlight w:val="lightGray"/>
          <w:lang w:val="en-US" w:eastAsia="zh-CN"/>
        </w:rPr>
        <w:t>Simultaneous RS + data under inter-cell mTRP from a non-serving cell</w:t>
      </w:r>
    </w:p>
    <w:p>
      <w:pPr>
        <w:pStyle w:val="8"/>
        <w:tabs>
          <w:tab w:val="left" w:pos="226"/>
          <w:tab w:val="left" w:pos="284"/>
          <w:tab w:val="left" w:pos="5103"/>
        </w:tabs>
        <w:snapToGrid w:val="0"/>
        <w:spacing w:before="156" w:beforeLines="50"/>
        <w:rPr>
          <w:rFonts w:hint="default" w:eastAsia="宋体"/>
          <w:color w:val="auto"/>
          <w:sz w:val="21"/>
          <w:szCs w:val="21"/>
          <w:highlight w:val="magenta"/>
          <w:lang w:val="en-US" w:eastAsia="zh-CN"/>
        </w:rPr>
      </w:pPr>
      <w:r>
        <w:rPr>
          <w:rFonts w:hint="eastAsia" w:eastAsia="宋体"/>
          <w:color w:val="auto"/>
          <w:sz w:val="21"/>
          <w:szCs w:val="21"/>
          <w:highlight w:val="magenta"/>
          <w:lang w:val="en-US" w:eastAsia="zh-CN"/>
        </w:rPr>
        <w:t>Simultaneous RS + RS under inter-cell mTRP from serving cell and non-serving cell</w:t>
      </w:r>
    </w:p>
    <w:p>
      <w:pPr>
        <w:pStyle w:val="8"/>
        <w:tabs>
          <w:tab w:val="left" w:pos="226"/>
          <w:tab w:val="left" w:pos="284"/>
          <w:tab w:val="left" w:pos="5103"/>
        </w:tabs>
        <w:snapToGrid w:val="0"/>
        <w:spacing w:before="156" w:beforeLines="50"/>
        <w:rPr>
          <w:rFonts w:hint="default" w:eastAsia="宋体"/>
          <w:color w:val="auto"/>
          <w:sz w:val="21"/>
          <w:szCs w:val="21"/>
          <w:highlight w:val="magenta"/>
          <w:lang w:val="en-US" w:eastAsia="zh-CN"/>
        </w:rPr>
      </w:pPr>
      <w:r>
        <w:rPr>
          <w:rFonts w:hint="eastAsia" w:eastAsia="宋体"/>
          <w:color w:val="auto"/>
          <w:sz w:val="21"/>
          <w:szCs w:val="21"/>
          <w:highlight w:val="magenta"/>
          <w:lang w:val="en-US" w:eastAsia="zh-CN"/>
        </w:rPr>
        <w:t>Simultaneous data + data under inter-cell mTRP from serving cell and non-serving cell</w:t>
      </w:r>
    </w:p>
    <w:p>
      <w:pPr>
        <w:pStyle w:val="8"/>
        <w:tabs>
          <w:tab w:val="left" w:pos="226"/>
          <w:tab w:val="left" w:pos="284"/>
          <w:tab w:val="left" w:pos="5103"/>
        </w:tabs>
        <w:snapToGrid w:val="0"/>
        <w:spacing w:before="156" w:beforeLines="50"/>
        <w:rPr>
          <w:rFonts w:hint="default" w:eastAsia="宋体"/>
          <w:color w:val="auto"/>
          <w:sz w:val="21"/>
          <w:szCs w:val="21"/>
          <w:highlight w:val="magenta"/>
          <w:lang w:val="en-US" w:eastAsia="zh-CN"/>
        </w:rPr>
      </w:pPr>
      <w:r>
        <w:rPr>
          <w:rFonts w:hint="eastAsia" w:eastAsia="宋体"/>
          <w:color w:val="auto"/>
          <w:sz w:val="21"/>
          <w:szCs w:val="21"/>
          <w:highlight w:val="magenta"/>
          <w:lang w:val="en-US" w:eastAsia="zh-CN"/>
        </w:rPr>
        <w:t>Simultaneous RS + data under inter-cell mTRP from serving cell and non-serving cell</w:t>
      </w:r>
    </w:p>
    <w:p>
      <w:pPr>
        <w:pStyle w:val="8"/>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For the sake of providing good supporting to mTRP scenario, for intra-cell mTRP, we believe all the three combinations highlighted in blue should be supported. For inter-cell mTRP, at least the three combinations highlighted in pink should be supported. For the combinations in yellow and gray, we are open to further discussed.</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intra-cell mTRP, we believe all the following combinations should be supported:</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Simultaneous RS + RS under intra-cell mTRP   </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data + data under intra-cell mTRP</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RS + data under intra-cell mTRP</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inter-cell mTRP(if decided to be included in the WI), at least the following combinations should be supported:</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Simultaneous RS + RS under inter-cell mTRP from serving cell and non-serving cell</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Simultaneous data + data under inter-cell mTRP from serving cell and non-serving cell</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Simultaneous RS + data under inter-cell mTRP from serving cell and non-serving cell</w:t>
      </w:r>
    </w:p>
    <w:p>
      <w:pPr>
        <w:rPr>
          <w:b/>
          <w:color w:val="000000" w:themeColor="text1"/>
          <w:u w:val="single"/>
          <w:lang w:eastAsia="ko-KR"/>
          <w14:textFill>
            <w14:solidFill>
              <w14:schemeClr w14:val="tx1"/>
            </w14:solidFill>
          </w14:textFill>
        </w:rPr>
      </w:pPr>
    </w:p>
    <w:p>
      <w:pPr>
        <w:rPr>
          <w:b w:val="0"/>
          <w:bCs/>
          <w:color w:val="000000" w:themeColor="text1"/>
          <w:u w:val="single"/>
          <w:lang w:eastAsia="ko-KR"/>
          <w14:textFill>
            <w14:solidFill>
              <w14:schemeClr w14:val="tx1"/>
            </w14:solidFill>
          </w14:textFill>
        </w:rPr>
      </w:pPr>
      <w:r>
        <w:rPr>
          <w:b w:val="0"/>
          <w:bCs/>
          <w:color w:val="000000" w:themeColor="text1"/>
          <w:u w:val="single"/>
          <w:lang w:eastAsia="ko-KR"/>
          <w14:textFill>
            <w14:solidFill>
              <w14:schemeClr w14:val="tx1"/>
            </w14:solidFill>
          </w14:textFill>
        </w:rPr>
        <w:t>Detectable condition of RS signals</w:t>
      </w:r>
    </w:p>
    <w:p>
      <w:pPr>
        <w:pStyle w:val="8"/>
        <w:tabs>
          <w:tab w:val="left" w:pos="226"/>
          <w:tab w:val="left" w:pos="284"/>
          <w:tab w:val="left" w:pos="5103"/>
        </w:tabs>
        <w:snapToGrid w:val="0"/>
        <w:spacing w:before="156" w:beforeLines="50"/>
        <w:rPr>
          <w:b/>
          <w:color w:val="000000" w:themeColor="text1"/>
          <w:u w:val="single"/>
          <w:lang w:eastAsia="ko-KR"/>
          <w14:textFill>
            <w14:solidFill>
              <w14:schemeClr w14:val="tx1"/>
            </w14:solidFill>
          </w14:textFill>
        </w:rPr>
      </w:pPr>
      <w:r>
        <w:rPr>
          <w:rFonts w:hint="eastAsia" w:eastAsia="宋体"/>
          <w:color w:val="auto"/>
          <w:sz w:val="21"/>
          <w:szCs w:val="21"/>
          <w:lang w:val="en-US" w:eastAsia="zh-CN"/>
        </w:rPr>
        <w:t>It is still open after the previous meeting discussion regarding the detectable condition. Some companies believed not only the target signal but also the associated RS in the QCL chain should be detectable.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numPr>
                <w:ilvl w:val="0"/>
                <w:numId w:val="6"/>
              </w:numPr>
              <w:overflowPunct/>
              <w:autoSpaceDE/>
              <w:autoSpaceDN/>
              <w:adjustRightInd/>
              <w:spacing w:after="120" w:line="259" w:lineRule="auto"/>
              <w:ind w:left="1020" w:leftChars="0" w:firstLineChars="0"/>
              <w:textAlignment w:val="auto"/>
              <w:rPr>
                <w:b/>
                <w:color w:val="000000" w:themeColor="text1"/>
                <w:u w:val="single"/>
                <w:vertAlign w:val="baseline"/>
                <w:lang w:eastAsia="ko-KR"/>
                <w14:textFill>
                  <w14:solidFill>
                    <w14:schemeClr w14:val="tx1"/>
                  </w14:solidFill>
                </w14:textFill>
              </w:rPr>
            </w:pPr>
            <w:r>
              <w:rPr>
                <w:rFonts w:eastAsia="宋体"/>
                <w:color w:val="000000" w:themeColor="text1"/>
                <w:szCs w:val="24"/>
                <w:lang w:eastAsia="zh-CN"/>
                <w14:textFill>
                  <w14:solidFill>
                    <w14:schemeClr w14:val="tx1"/>
                  </w14:solidFill>
                </w14:textFill>
              </w:rPr>
              <w:t>Option 1 (MTK): For detectable condition, all RSs in the same QCL chain for the target TCI state should remain detectable during the entire measurement/switch period.</w:t>
            </w:r>
          </w:p>
        </w:tc>
      </w:tr>
    </w:tbl>
    <w:p>
      <w:pPr>
        <w:rPr>
          <w:rFonts w:hint="eastAsia" w:eastAsia="宋体"/>
          <w:color w:val="auto"/>
          <w:sz w:val="21"/>
          <w:szCs w:val="21"/>
          <w:lang w:val="en-US" w:eastAsia="zh-CN"/>
        </w:rPr>
      </w:pPr>
      <w:r>
        <w:rPr>
          <w:rFonts w:hint="eastAsia" w:eastAsia="宋体"/>
          <w:color w:val="auto"/>
          <w:sz w:val="21"/>
          <w:szCs w:val="21"/>
          <w:lang w:val="en-US" w:eastAsia="zh-CN"/>
        </w:rPr>
        <w:t>If all RSs in the same QCL chain remain detectable during the entire measurement period/switch, it would be more reliable. Further more, all RSs in the same QCL chain can be seem as transmitted from the same Tx spatial filter, so the detectability for all RSs in the same QCL chain should be same. So we are fine with the above option1 in general.</w:t>
      </w:r>
    </w:p>
    <w:p>
      <w:pPr>
        <w:rPr>
          <w:rFonts w:hint="default" w:eastAsia="宋体"/>
          <w:b/>
          <w:color w:val="000000" w:themeColor="text1"/>
          <w:u w:val="single"/>
          <w:lang w:val="en-US" w:eastAsia="zh-CN"/>
          <w14:textFill>
            <w14:solidFill>
              <w14:schemeClr w14:val="tx1"/>
            </w14:solidFill>
          </w14:textFill>
        </w:rPr>
      </w:pPr>
      <w:r>
        <w:rPr>
          <w:rFonts w:hint="eastAsia" w:eastAsia="宋体"/>
          <w:color w:val="auto"/>
          <w:sz w:val="21"/>
          <w:szCs w:val="21"/>
          <w:lang w:val="en-US" w:eastAsia="zh-CN"/>
        </w:rPr>
        <w:t xml:space="preserve">Regarding to the understanding of </w:t>
      </w:r>
      <w:r>
        <w:rPr>
          <w:rFonts w:hint="default" w:eastAsia="宋体"/>
          <w:color w:val="auto"/>
          <w:sz w:val="21"/>
          <w:szCs w:val="21"/>
          <w:lang w:val="en-US" w:eastAsia="zh-CN"/>
        </w:rPr>
        <w:t>“</w:t>
      </w:r>
      <w:r>
        <w:rPr>
          <w:rFonts w:hint="eastAsia" w:eastAsia="宋体"/>
          <w:color w:val="auto"/>
          <w:sz w:val="21"/>
          <w:szCs w:val="21"/>
          <w:lang w:val="en-US" w:eastAsia="zh-CN"/>
        </w:rPr>
        <w:t>measurement/switch period</w:t>
      </w:r>
      <w:r>
        <w:rPr>
          <w:rFonts w:hint="default" w:eastAsia="宋体"/>
          <w:color w:val="auto"/>
          <w:sz w:val="21"/>
          <w:szCs w:val="21"/>
          <w:lang w:val="en-US" w:eastAsia="zh-CN"/>
        </w:rPr>
        <w:t>”</w:t>
      </w:r>
      <w:r>
        <w:rPr>
          <w:rFonts w:hint="eastAsia" w:eastAsia="宋体"/>
          <w:color w:val="auto"/>
          <w:sz w:val="21"/>
          <w:szCs w:val="21"/>
          <w:lang w:val="en-US" w:eastAsia="zh-CN"/>
        </w:rPr>
        <w:t>, we believe it only aims to describe the duration on which the all RSs should be detectable, not any additional restriction.</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detectable condition, all RSs in the same QCL chain for the target TCI state should remain detectable during the entire measurement/switch period.</w:t>
      </w:r>
    </w:p>
    <w:p>
      <w:pPr>
        <w:pStyle w:val="8"/>
        <w:tabs>
          <w:tab w:val="left" w:pos="226"/>
          <w:tab w:val="left" w:pos="284"/>
          <w:tab w:val="left" w:pos="5103"/>
        </w:tabs>
        <w:snapToGrid w:val="0"/>
        <w:spacing w:before="156" w:beforeLines="50"/>
        <w:rPr>
          <w:rFonts w:hint="default" w:eastAsia="宋体"/>
          <w:b w:val="0"/>
          <w:bCs w:val="0"/>
          <w:i/>
          <w:iCs/>
          <w:color w:val="auto"/>
          <w:sz w:val="21"/>
          <w:szCs w:val="21"/>
          <w:u w:val="single"/>
          <w:lang w:val="en-US" w:eastAsia="zh-CN"/>
        </w:rPr>
      </w:pPr>
      <w:r>
        <w:rPr>
          <w:rFonts w:hint="eastAsia" w:eastAsia="宋体"/>
          <w:b w:val="0"/>
          <w:bCs w:val="0"/>
          <w:color w:val="auto"/>
          <w:sz w:val="21"/>
          <w:szCs w:val="21"/>
          <w:u w:val="single"/>
          <w:lang w:val="en-US" w:eastAsia="zh-CN"/>
        </w:rPr>
        <w:t xml:space="preserve">Introducing a new UE capability or reusing/extension the R16 UE capability </w:t>
      </w:r>
      <w:r>
        <w:rPr>
          <w:rFonts w:hint="eastAsia" w:eastAsia="宋体"/>
          <w:b w:val="0"/>
          <w:bCs w:val="0"/>
          <w:i/>
          <w:iCs/>
          <w:color w:val="auto"/>
          <w:sz w:val="21"/>
          <w:szCs w:val="21"/>
          <w:u w:val="single"/>
          <w:lang w:val="en-US" w:eastAsia="zh-CN"/>
        </w:rPr>
        <w:t>simultaneousReceptionDiffTypeD</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To indicate the support of simultaneous multi-panel reception from two directions by UE in FR2-1, an optional UE capability is necessary, which is no need to doubt. While regarding to the exact UE capability, one of the optionS proposed by some company is to reuse the existing UE capability </w:t>
      </w:r>
      <w:r>
        <w:rPr>
          <w:rFonts w:hint="eastAsia" w:eastAsia="宋体"/>
          <w:i/>
          <w:iCs/>
          <w:color w:val="auto"/>
          <w:sz w:val="21"/>
          <w:szCs w:val="21"/>
          <w:lang w:val="en-US" w:eastAsia="zh-CN"/>
        </w:rPr>
        <w:t>simultaneousReceptionDiffTypeD</w:t>
      </w:r>
      <w:r>
        <w:rPr>
          <w:rFonts w:hint="eastAsia" w:eastAsia="宋体"/>
          <w:color w:val="auto"/>
          <w:sz w:val="21"/>
          <w:szCs w:val="21"/>
          <w:lang w:val="en-US" w:eastAsia="zh-CN"/>
        </w:rPr>
        <w:t xml:space="preserve">. </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In our opinion, it is better to introduce a new UE capability rather than reuse the existing </w:t>
      </w:r>
      <w:r>
        <w:rPr>
          <w:rFonts w:hint="eastAsia" w:eastAsia="宋体"/>
          <w:i/>
          <w:iCs/>
          <w:color w:val="auto"/>
          <w:sz w:val="21"/>
          <w:szCs w:val="21"/>
          <w:lang w:val="en-US" w:eastAsia="zh-CN"/>
        </w:rPr>
        <w:t>simultaneousReceptionDiffTypeD</w:t>
      </w:r>
      <w:r>
        <w:rPr>
          <w:rFonts w:hint="eastAsia" w:eastAsia="宋体"/>
          <w:color w:val="auto"/>
          <w:sz w:val="21"/>
          <w:szCs w:val="21"/>
          <w:lang w:val="en-US" w:eastAsia="zh-CN"/>
        </w:rPr>
        <w:t xml:space="preserve">. One straightforward reason is the existing R-16 UE capability </w:t>
      </w:r>
      <w:r>
        <w:rPr>
          <w:rFonts w:hint="eastAsia" w:eastAsia="宋体"/>
          <w:i/>
          <w:iCs/>
          <w:color w:val="auto"/>
          <w:sz w:val="21"/>
          <w:szCs w:val="21"/>
          <w:lang w:val="en-US" w:eastAsia="zh-CN"/>
        </w:rPr>
        <w:t>simultaneousReceptionDiffTypeD</w:t>
      </w:r>
      <w:r>
        <w:rPr>
          <w:rFonts w:hint="eastAsia" w:eastAsia="宋体"/>
          <w:color w:val="auto"/>
          <w:sz w:val="21"/>
          <w:szCs w:val="21"/>
          <w:lang w:val="en-US" w:eastAsia="zh-CN"/>
        </w:rPr>
        <w:t xml:space="preserve"> is only applicable for PDSCH not even for PDCCH, not to mention RS at all. Until now, even whether the L3 measurement is included or not is still suspending, it is determinate that the L1 measurement should be considered, so the simultaneous reception should cover the L1 RS reception. Which is beyond the implication of </w:t>
      </w:r>
      <w:r>
        <w:rPr>
          <w:rFonts w:hint="eastAsia" w:eastAsia="宋体"/>
          <w:i/>
          <w:iCs/>
          <w:color w:val="auto"/>
          <w:sz w:val="21"/>
          <w:szCs w:val="21"/>
          <w:lang w:val="en-US" w:eastAsia="zh-CN"/>
        </w:rPr>
        <w:t>simultaneousReceptionDiffTypeD</w:t>
      </w:r>
      <w:r>
        <w:rPr>
          <w:rFonts w:hint="eastAsia" w:eastAsia="宋体"/>
          <w:color w:val="auto"/>
          <w:sz w:val="21"/>
          <w:szCs w:val="21"/>
          <w:lang w:val="en-US" w:eastAsia="zh-CN"/>
        </w:rPr>
        <w:t xml:space="preserve">.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The R16 UE capability </w:t>
      </w:r>
      <w:r>
        <w:rPr>
          <w:rFonts w:hint="eastAsia" w:eastAsia="宋体" w:cs="Times New Roman"/>
          <w:b/>
          <w:bCs/>
          <w:i/>
          <w:iCs/>
          <w:color w:val="auto"/>
          <w:sz w:val="20"/>
          <w:szCs w:val="20"/>
          <w:highlight w:val="none"/>
          <w:lang w:val="en-US" w:eastAsia="zh-CN" w:bidi="ar-SA"/>
        </w:rPr>
        <w:t>simultaneousReceptionDiffTypeD</w:t>
      </w:r>
      <w:r>
        <w:rPr>
          <w:rFonts w:hint="eastAsia" w:eastAsia="宋体" w:cs="Times New Roman"/>
          <w:b/>
          <w:bCs/>
          <w:color w:val="auto"/>
          <w:sz w:val="20"/>
          <w:szCs w:val="20"/>
          <w:highlight w:val="none"/>
          <w:lang w:val="en-US" w:eastAsia="zh-CN" w:bidi="ar-SA"/>
        </w:rPr>
        <w:t xml:space="preserve"> is only applicable for PDSCH not even for PDCCH.</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It is preferred to introduce a new UE capability rather than reuse the existing R16 </w:t>
      </w:r>
      <w:r>
        <w:rPr>
          <w:rFonts w:hint="eastAsia" w:eastAsia="宋体" w:cs="Times New Roman"/>
          <w:b/>
          <w:bCs/>
          <w:i/>
          <w:iCs/>
          <w:color w:val="auto"/>
          <w:sz w:val="20"/>
          <w:szCs w:val="20"/>
          <w:highlight w:val="none"/>
          <w:lang w:val="en-US" w:eastAsia="zh-CN" w:bidi="ar-SA"/>
        </w:rPr>
        <w:t>simultaneousReceptionDiffTypeD</w:t>
      </w:r>
      <w:r>
        <w:rPr>
          <w:rFonts w:hint="eastAsia" w:eastAsia="宋体" w:cs="Times New Roman"/>
          <w:b/>
          <w:bCs/>
          <w:color w:val="auto"/>
          <w:sz w:val="20"/>
          <w:szCs w:val="20"/>
          <w:highlight w:val="none"/>
          <w:lang w:val="en-US" w:eastAsia="zh-CN" w:bidi="ar-SA"/>
        </w:rPr>
        <w:t xml:space="preserve"> to indicate the support ofsimultaneous multi-panle reception from two directions in FR2-1.</w:t>
      </w:r>
    </w:p>
    <w:p>
      <w:pPr>
        <w:pStyle w:val="8"/>
        <w:tabs>
          <w:tab w:val="left" w:pos="226"/>
          <w:tab w:val="left" w:pos="284"/>
          <w:tab w:val="left" w:pos="5103"/>
        </w:tabs>
        <w:snapToGrid w:val="0"/>
        <w:spacing w:before="156" w:beforeLines="50"/>
        <w:rPr>
          <w:rFonts w:hint="eastAsia" w:eastAsia="宋体"/>
          <w:b w:val="0"/>
          <w:bCs w:val="0"/>
          <w:color w:val="auto"/>
          <w:sz w:val="21"/>
          <w:szCs w:val="21"/>
          <w:u w:val="single"/>
          <w:lang w:val="en-US" w:eastAsia="zh-CN"/>
        </w:rPr>
      </w:pPr>
      <w:r>
        <w:rPr>
          <w:rFonts w:hint="eastAsia" w:eastAsia="宋体"/>
          <w:b w:val="0"/>
          <w:bCs w:val="0"/>
          <w:color w:val="auto"/>
          <w:sz w:val="21"/>
          <w:szCs w:val="21"/>
          <w:u w:val="single"/>
          <w:lang w:val="en-US" w:eastAsia="zh-CN"/>
        </w:rPr>
        <w:t>Whether need to distinguish multiple UE capabilities for different combination of simultaneous multiple reception</w:t>
      </w:r>
    </w:p>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Based on the discussion until the end of 104bis meeting, it is possible that multiple combinations between L1 RS, L3 RS and data would be supported by the UE capable of simultaneous multi-panel reception. So regarding to the UE capability design, there are two solutions:</w:t>
      </w:r>
    </w:p>
    <w:p>
      <w:pPr>
        <w:pStyle w:val="8"/>
        <w:numPr>
          <w:ilvl w:val="0"/>
          <w:numId w:val="0"/>
        </w:numPr>
        <w:tabs>
          <w:tab w:val="left" w:pos="226"/>
          <w:tab w:val="left" w:pos="284"/>
          <w:tab w:val="left" w:pos="5103"/>
        </w:tabs>
        <w:snapToGrid w:val="0"/>
        <w:spacing w:before="156" w:beforeLines="50"/>
        <w:ind w:leftChars="100"/>
        <w:rPr>
          <w:rFonts w:hint="default" w:eastAsia="宋体"/>
          <w:b w:val="0"/>
          <w:bCs w:val="0"/>
          <w:color w:val="auto"/>
          <w:sz w:val="21"/>
          <w:szCs w:val="21"/>
          <w:u w:val="none"/>
          <w:lang w:val="en-US" w:eastAsia="zh-CN"/>
        </w:rPr>
      </w:pPr>
      <w:r>
        <w:rPr>
          <w:rFonts w:hint="eastAsia" w:eastAsia="宋体"/>
          <w:b w:val="0"/>
          <w:bCs w:val="0"/>
          <w:color w:val="auto"/>
          <w:sz w:val="21"/>
          <w:szCs w:val="21"/>
          <w:u w:val="none"/>
          <w:lang w:val="en-US" w:eastAsia="zh-CN"/>
        </w:rPr>
        <w:t>Solution 1: Only a single UE capability is needed, which is applicable for all supported combinations of simultaneous reception between L1 RS, L3 RS and data</w:t>
      </w:r>
    </w:p>
    <w:p>
      <w:pPr>
        <w:pStyle w:val="8"/>
        <w:numPr>
          <w:ilvl w:val="0"/>
          <w:numId w:val="0"/>
        </w:numPr>
        <w:tabs>
          <w:tab w:val="left" w:pos="226"/>
          <w:tab w:val="left" w:pos="284"/>
          <w:tab w:val="left" w:pos="5103"/>
        </w:tabs>
        <w:snapToGrid w:val="0"/>
        <w:spacing w:before="156" w:beforeLines="50"/>
        <w:ind w:leftChars="100"/>
        <w:rPr>
          <w:rFonts w:hint="default" w:eastAsia="宋体"/>
          <w:b w:val="0"/>
          <w:bCs w:val="0"/>
          <w:color w:val="auto"/>
          <w:sz w:val="21"/>
          <w:szCs w:val="21"/>
          <w:u w:val="none"/>
          <w:lang w:val="en-US" w:eastAsia="zh-CN"/>
        </w:rPr>
      </w:pPr>
      <w:r>
        <w:rPr>
          <w:rFonts w:hint="eastAsia" w:eastAsia="宋体"/>
          <w:b w:val="0"/>
          <w:bCs w:val="0"/>
          <w:color w:val="auto"/>
          <w:sz w:val="21"/>
          <w:szCs w:val="21"/>
          <w:u w:val="none"/>
          <w:lang w:val="en-US" w:eastAsia="zh-CN"/>
        </w:rPr>
        <w:t>Solution 2: Multiple UE capabilities are necessary, and each of them indicates the support of one kind of combinations. E.g UE capability X1 indicates the support of simultaneous data+data reception; UE capability X2 indicates the support of simultaneous L1 RS + L1 RS/data reception; UE capability X3 indicates the support of L3 RS + L3 RS/L1 RS/data reception.</w:t>
      </w:r>
    </w:p>
    <w:p>
      <w:pPr>
        <w:pStyle w:val="8"/>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In our opinion, it is better to firstly identify the supported combinations in this WI. Then we can further make a decision between Solution 1 and Solution 2 from the perspective of whether a unified UE capability is enough or not.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Whether using a single UE capability or multiple UE capabilities to indicate the support of multi-panel reception, which should be decided based on the conclusion of supported combinations in this WI. So it is better to firstly identify the supported combinations in this WI. Then the decision between Solution 1 and Solution 2 can be identified from the perspective of whether a unified UE capability is enough or not.</w:t>
      </w:r>
    </w:p>
    <w:p>
      <w:pPr>
        <w:pStyle w:val="8"/>
        <w:ind w:leftChars="10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Solution 1: Only a single UE capability is needed, which is applicable for all supported combinations of simultaneous reception between L1 RS, L3 RS and data</w:t>
      </w:r>
    </w:p>
    <w:p>
      <w:pPr>
        <w:pStyle w:val="8"/>
        <w:ind w:leftChars="10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Solution 2: Multiple UE capabilities are necessary, and each of them indicates the support of one kind of combinations. E.g UE capability X1 indicates the support of simultaneous data+data reception; UE capability X2 indicates the support of simultaneous L1 RS + L1 RS/data reception; UE capability X3 indicates the support of L3 RS + L3 RS/L1 RS/data reception.</w:t>
      </w:r>
    </w:p>
    <w:p>
      <w:pPr>
        <w:pStyle w:val="8"/>
        <w:tabs>
          <w:tab w:val="left" w:pos="226"/>
          <w:tab w:val="left" w:pos="284"/>
          <w:tab w:val="left" w:pos="5103"/>
        </w:tabs>
        <w:snapToGrid w:val="0"/>
        <w:spacing w:before="156" w:beforeLines="50"/>
        <w:jc w:val="left"/>
        <w:rPr>
          <w:rFonts w:hint="default" w:eastAsia="宋体"/>
          <w:b w:val="0"/>
          <w:bCs w:val="0"/>
          <w:color w:val="auto"/>
          <w:sz w:val="21"/>
          <w:szCs w:val="21"/>
          <w:u w:val="single"/>
          <w:lang w:val="en-US" w:eastAsia="zh-CN"/>
        </w:rPr>
      </w:pPr>
      <w:r>
        <w:rPr>
          <w:rFonts w:hint="eastAsia" w:eastAsia="宋体"/>
          <w:b w:val="0"/>
          <w:bCs w:val="0"/>
          <w:color w:val="auto"/>
          <w:sz w:val="21"/>
          <w:szCs w:val="21"/>
          <w:u w:val="single"/>
          <w:lang w:val="en-US" w:eastAsia="zh-CN"/>
        </w:rPr>
        <w:t>Clarification</w:t>
      </w:r>
      <w:r>
        <w:rPr>
          <w:rFonts w:hint="eastAsia" w:eastAsia="宋体"/>
          <w:b w:val="0"/>
          <w:bCs w:val="0"/>
          <w:color w:val="auto"/>
          <w:sz w:val="21"/>
          <w:szCs w:val="21"/>
          <w:u w:val="single"/>
          <w:lang w:val="en-US" w:eastAsia="ko-KR"/>
        </w:rPr>
        <w:t xml:space="preserve"> of</w:t>
      </w:r>
      <w:r>
        <w:rPr>
          <w:rFonts w:hint="eastAsia" w:eastAsia="宋体"/>
          <w:b w:val="0"/>
          <w:bCs w:val="0"/>
          <w:color w:val="auto"/>
          <w:sz w:val="21"/>
          <w:szCs w:val="21"/>
          <w:u w:val="single"/>
          <w:lang w:val="en-US" w:eastAsia="zh-CN"/>
        </w:rPr>
        <w:t xml:space="preserve"> </w:t>
      </w:r>
      <w:r>
        <w:rPr>
          <w:rFonts w:hint="eastAsia" w:eastAsia="宋体"/>
          <w:b w:val="0"/>
          <w:bCs w:val="0"/>
          <w:i/>
          <w:iCs/>
          <w:color w:val="auto"/>
          <w:sz w:val="21"/>
          <w:szCs w:val="21"/>
          <w:u w:val="single"/>
          <w:lang w:val="en-US" w:eastAsia="ko-KR"/>
        </w:rPr>
        <w:t>simultaneousRxDataSSB-DiffNumerology</w:t>
      </w:r>
      <w:r>
        <w:rPr>
          <w:rFonts w:hint="eastAsia" w:eastAsia="宋体"/>
          <w:b w:val="0"/>
          <w:bCs w:val="0"/>
          <w:i/>
          <w:iCs/>
          <w:color w:val="auto"/>
          <w:sz w:val="21"/>
          <w:szCs w:val="21"/>
          <w:u w:val="single"/>
          <w:lang w:val="en-US" w:eastAsia="zh-CN"/>
        </w:rPr>
        <w:t>/</w:t>
      </w:r>
      <w:r>
        <w:rPr>
          <w:rFonts w:hint="eastAsia" w:eastAsia="宋体"/>
          <w:b w:val="0"/>
          <w:bCs w:val="0"/>
          <w:i/>
          <w:iCs/>
          <w:color w:val="auto"/>
          <w:sz w:val="21"/>
          <w:szCs w:val="21"/>
          <w:u w:val="single"/>
          <w:lang w:val="en-US" w:eastAsia="ko-KR"/>
        </w:rPr>
        <w:t>simultaneousRxDataSSB-DiffNumerology</w:t>
      </w:r>
      <w:r>
        <w:rPr>
          <w:rFonts w:hint="eastAsia" w:eastAsia="宋体"/>
          <w:b w:val="0"/>
          <w:bCs w:val="0"/>
          <w:i/>
          <w:iCs/>
          <w:color w:val="auto"/>
          <w:sz w:val="21"/>
          <w:szCs w:val="21"/>
          <w:u w:val="single"/>
          <w:lang w:val="en-US" w:eastAsia="zh-CN"/>
        </w:rPr>
        <w:t>-Intel-r16</w:t>
      </w:r>
    </w:p>
    <w:p>
      <w:pPr>
        <w:pStyle w:val="8"/>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The two legacy UE capabilities are both related with the concurrent receiving between SSB and data, so whether and how they can be reused in R18 multi-panel reception, needs some clarification. The following option was discussed during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numPr>
                <w:ilvl w:val="0"/>
                <w:numId w:val="6"/>
              </w:numPr>
              <w:overflowPunct/>
              <w:autoSpaceDE/>
              <w:autoSpaceDN/>
              <w:adjustRightInd/>
              <w:spacing w:after="120" w:line="259" w:lineRule="auto"/>
              <w:ind w:left="1020" w:leftChars="0" w:firstLineChars="0"/>
              <w:textAlignment w:val="auto"/>
              <w:rPr>
                <w:rFonts w:hint="default" w:eastAsia="宋体"/>
                <w:color w:val="auto"/>
                <w:sz w:val="21"/>
                <w:szCs w:val="21"/>
                <w:vertAlign w:val="baseline"/>
                <w:lang w:val="en-US" w:eastAsia="zh-CN"/>
              </w:rPr>
            </w:pPr>
            <w:r>
              <w:rPr>
                <w:color w:val="000000" w:themeColor="text1"/>
                <w:lang w:val="en-US" w:eastAsia="zh-CN"/>
                <w14:textFill>
                  <w14:solidFill>
                    <w14:schemeClr w14:val="tx1"/>
                  </w14:solidFill>
                </w14:textFill>
              </w:rPr>
              <w:t xml:space="preserve">Option 1: The existing </w:t>
            </w:r>
            <w:r>
              <w:rPr>
                <w:i/>
                <w:iCs/>
                <w:color w:val="000000" w:themeColor="text1"/>
                <w:lang w:val="en-US" w:eastAsia="zh-CN"/>
                <w14:textFill>
                  <w14:solidFill>
                    <w14:schemeClr w14:val="tx1"/>
                  </w14:solidFill>
                </w14:textFill>
              </w:rPr>
              <w:t>simultaneousRxDataSSB-DiffNumerology</w:t>
            </w:r>
            <w:r>
              <w:rPr>
                <w:color w:val="000000" w:themeColor="text1"/>
                <w:lang w:val="en-US" w:eastAsia="zh-CN"/>
                <w14:textFill>
                  <w14:solidFill>
                    <w14:schemeClr w14:val="tx1"/>
                  </w14:solidFill>
                </w14:textFill>
              </w:rPr>
              <w:t xml:space="preserve"> IE can be re-used in R18 multi-panel WI</w:t>
            </w:r>
          </w:p>
        </w:tc>
      </w:tr>
    </w:tbl>
    <w:p>
      <w:pPr>
        <w:pStyle w:val="8"/>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Firstly the description in [3] can provide some reference. </w:t>
      </w:r>
    </w:p>
    <w:tbl>
      <w:tblPr>
        <w:tblStyle w:val="16"/>
        <w:tblW w:w="9529"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807"/>
        <w:gridCol w:w="709"/>
        <w:gridCol w:w="564"/>
        <w:gridCol w:w="712"/>
        <w:gridCol w:w="73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4"/>
              <w:jc w:val="center"/>
              <w:rPr>
                <w:rFonts w:hint="default" w:eastAsia="宋体"/>
                <w:b/>
                <w:bCs/>
                <w:lang w:val="en-US" w:eastAsia="zh-CN"/>
              </w:rPr>
            </w:pPr>
            <w:r>
              <w:rPr>
                <w:rFonts w:hint="eastAsia"/>
                <w:b/>
                <w:bCs/>
                <w:lang w:val="en-US" w:eastAsia="zh-CN"/>
              </w:rPr>
              <w:t>Definitions for parameters</w:t>
            </w:r>
          </w:p>
        </w:tc>
        <w:tc>
          <w:tcPr>
            <w:tcW w:w="709" w:type="dxa"/>
          </w:tcPr>
          <w:p>
            <w:pPr>
              <w:pStyle w:val="34"/>
              <w:jc w:val="center"/>
              <w:rPr>
                <w:rFonts w:hint="default" w:eastAsia="宋体" w:cs="Arial"/>
                <w:b/>
                <w:bCs/>
                <w:iCs/>
                <w:szCs w:val="18"/>
                <w:lang w:val="en-US" w:eastAsia="zh-CN"/>
              </w:rPr>
            </w:pPr>
            <w:r>
              <w:rPr>
                <w:rFonts w:hint="eastAsia" w:cs="Arial"/>
                <w:b/>
                <w:bCs/>
                <w:iCs/>
                <w:szCs w:val="18"/>
                <w:lang w:val="en-US" w:eastAsia="zh-CN"/>
              </w:rPr>
              <w:t>Per</w:t>
            </w:r>
          </w:p>
        </w:tc>
        <w:tc>
          <w:tcPr>
            <w:tcW w:w="564" w:type="dxa"/>
          </w:tcPr>
          <w:p>
            <w:pPr>
              <w:pStyle w:val="34"/>
              <w:jc w:val="center"/>
              <w:rPr>
                <w:rFonts w:hint="eastAsia" w:eastAsia="宋体" w:cs="Arial"/>
                <w:b/>
                <w:bCs/>
                <w:iCs/>
                <w:szCs w:val="18"/>
                <w:lang w:val="en-US" w:eastAsia="zh-CN"/>
              </w:rPr>
            </w:pPr>
            <w:r>
              <w:rPr>
                <w:rFonts w:hint="eastAsia" w:cs="Arial"/>
                <w:b/>
                <w:bCs/>
                <w:iCs/>
                <w:szCs w:val="18"/>
                <w:lang w:val="en-US" w:eastAsia="zh-CN"/>
              </w:rPr>
              <w:t>M</w:t>
            </w:r>
          </w:p>
        </w:tc>
        <w:tc>
          <w:tcPr>
            <w:tcW w:w="712" w:type="dxa"/>
          </w:tcPr>
          <w:p>
            <w:pPr>
              <w:pStyle w:val="34"/>
              <w:jc w:val="center"/>
              <w:rPr>
                <w:rFonts w:hint="default" w:eastAsia="宋体" w:cs="Arial"/>
                <w:b/>
                <w:bCs/>
                <w:iCs/>
                <w:szCs w:val="18"/>
                <w:lang w:val="en-US" w:eastAsia="zh-CN"/>
              </w:rPr>
            </w:pPr>
            <w:r>
              <w:rPr>
                <w:rFonts w:hint="eastAsia" w:cs="Arial"/>
                <w:b/>
                <w:bCs/>
                <w:iCs/>
                <w:szCs w:val="18"/>
                <w:lang w:val="en-US" w:eastAsia="zh-CN"/>
              </w:rPr>
              <w:t>FDD-TDD DIFF</w:t>
            </w:r>
          </w:p>
        </w:tc>
        <w:tc>
          <w:tcPr>
            <w:tcW w:w="737" w:type="dxa"/>
          </w:tcPr>
          <w:p>
            <w:pPr>
              <w:pStyle w:val="34"/>
              <w:jc w:val="center"/>
              <w:rPr>
                <w:rFonts w:hint="default" w:eastAsia="宋体" w:cs="Arial"/>
                <w:b/>
                <w:bCs/>
                <w:iCs/>
                <w:szCs w:val="18"/>
                <w:lang w:val="en-US" w:eastAsia="zh-CN"/>
              </w:rPr>
            </w:pPr>
            <w:r>
              <w:rPr>
                <w:rFonts w:hint="eastAsia" w:eastAsia="宋体" w:cs="Arial"/>
                <w:b/>
                <w:bCs/>
                <w:iCs/>
                <w:szCs w:val="18"/>
                <w:lang w:val="en-US" w:eastAsia="zh-CN"/>
              </w:rPr>
              <w:t>FR1-FR2 DIFF</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4"/>
              <w:rPr>
                <w:rFonts w:cs="Arial"/>
                <w:b/>
                <w:bCs/>
                <w:i/>
                <w:iCs/>
                <w:szCs w:val="18"/>
              </w:rPr>
            </w:pPr>
            <w:r>
              <w:rPr>
                <w:rFonts w:cs="Arial"/>
                <w:b/>
                <w:bCs/>
                <w:i/>
                <w:iCs/>
                <w:szCs w:val="18"/>
              </w:rPr>
              <w:t>simultaneousRxDataSSB-DiffNumerology</w:t>
            </w:r>
          </w:p>
          <w:p>
            <w:pPr>
              <w:pStyle w:val="34"/>
              <w:rPr>
                <w:rFonts w:cs="Arial"/>
                <w:b/>
                <w:bCs/>
                <w:i/>
                <w:iCs/>
                <w:szCs w:val="18"/>
              </w:rPr>
            </w:pPr>
            <w: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pPr>
              <w:pStyle w:val="34"/>
              <w:jc w:val="center"/>
              <w:rPr>
                <w:rFonts w:cs="Arial"/>
                <w:bCs/>
                <w:iCs/>
                <w:szCs w:val="18"/>
              </w:rPr>
            </w:pPr>
            <w:r>
              <w:rPr>
                <w:rFonts w:cs="Arial"/>
                <w:bCs/>
                <w:iCs/>
                <w:szCs w:val="18"/>
              </w:rPr>
              <w:t>UE</w:t>
            </w:r>
          </w:p>
        </w:tc>
        <w:tc>
          <w:tcPr>
            <w:tcW w:w="564" w:type="dxa"/>
          </w:tcPr>
          <w:p>
            <w:pPr>
              <w:pStyle w:val="34"/>
              <w:jc w:val="center"/>
              <w:rPr>
                <w:rFonts w:cs="Arial"/>
                <w:bCs/>
                <w:iCs/>
                <w:szCs w:val="18"/>
              </w:rPr>
            </w:pPr>
            <w:r>
              <w:rPr>
                <w:rFonts w:cs="Arial"/>
                <w:bCs/>
                <w:iCs/>
                <w:szCs w:val="18"/>
              </w:rPr>
              <w:t>No</w:t>
            </w:r>
          </w:p>
        </w:tc>
        <w:tc>
          <w:tcPr>
            <w:tcW w:w="712" w:type="dxa"/>
          </w:tcPr>
          <w:p>
            <w:pPr>
              <w:pStyle w:val="34"/>
              <w:jc w:val="center"/>
              <w:rPr>
                <w:rFonts w:cs="Arial"/>
                <w:bCs/>
                <w:iCs/>
                <w:szCs w:val="18"/>
              </w:rPr>
            </w:pPr>
            <w:r>
              <w:rPr>
                <w:rFonts w:cs="Arial"/>
                <w:bCs/>
                <w:iCs/>
                <w:szCs w:val="18"/>
              </w:rPr>
              <w:t>No</w:t>
            </w:r>
          </w:p>
        </w:tc>
        <w:tc>
          <w:tcPr>
            <w:tcW w:w="737" w:type="dxa"/>
          </w:tcPr>
          <w:p>
            <w:pPr>
              <w:pStyle w:val="34"/>
              <w:jc w:val="center"/>
              <w:rPr>
                <w:rFonts w:eastAsia="MS Mincho" w:cs="Arial"/>
                <w:bCs/>
                <w:iCs/>
                <w:szCs w:val="18"/>
              </w:rPr>
            </w:pPr>
            <w:r>
              <w:rPr>
                <w:rFonts w:eastAsia="MS Mincho" w:cs="Arial"/>
                <w:bCs/>
                <w:iCs/>
                <w:szCs w:val="18"/>
              </w:rPr>
              <w:t>Yes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807" w:type="dxa"/>
          </w:tcPr>
          <w:p>
            <w:pPr>
              <w:pStyle w:val="34"/>
              <w:rPr>
                <w:rFonts w:cs="Arial"/>
                <w:b/>
                <w:bCs/>
                <w:i/>
                <w:iCs/>
                <w:szCs w:val="18"/>
                <w:lang w:eastAsia="zh-CN"/>
              </w:rPr>
            </w:pPr>
            <w:r>
              <w:rPr>
                <w:rFonts w:cs="Arial"/>
                <w:b/>
                <w:bCs/>
                <w:i/>
                <w:iCs/>
                <w:szCs w:val="18"/>
              </w:rPr>
              <w:t>simultaneousRxDataSSB-DiffNumerology-Inter-r16</w:t>
            </w:r>
          </w:p>
          <w:p>
            <w:pPr>
              <w:pStyle w:val="34"/>
              <w:rPr>
                <w:rFonts w:cs="Arial"/>
                <w:b/>
                <w:bCs/>
                <w:i/>
                <w:iCs/>
                <w:szCs w:val="18"/>
              </w:rPr>
            </w:pPr>
            <w:r>
              <w:t>Indicates whether the UE supports</w:t>
            </w:r>
            <w:r>
              <w:rPr>
                <w:rFonts w:cs="Arial"/>
                <w:lang w:eastAsia="zh-CN"/>
              </w:rPr>
              <w:t xml:space="preserve"> </w:t>
            </w:r>
            <w:r>
              <w:t xml:space="preserve">concurrent </w:t>
            </w:r>
            <w:r>
              <w:rPr>
                <w:lang w:eastAsia="zh-CN"/>
              </w:rPr>
              <w:t xml:space="preserve">SSB based </w:t>
            </w:r>
            <w:r>
              <w:rPr>
                <w:rFonts w:cs="Arial"/>
                <w:lang w:eastAsia="zh-CN"/>
              </w:rPr>
              <w:t>inter-frequency measurement without measurement gap</w:t>
            </w:r>
            <w:r>
              <w:rPr>
                <w:lang w:eastAsia="zh-CN"/>
              </w:rPr>
              <w:t xml:space="preserve"> </w:t>
            </w:r>
            <w:r>
              <w:t xml:space="preserve">on neighbouring cell and PDCCH or PDSCH reception from the serving cell with a different numerology as defined in clause 8 and 9 of TS 38.133 [5]. UE indicates support of this indicates support of </w:t>
            </w:r>
            <w:r>
              <w:rPr>
                <w:i/>
                <w:iCs/>
              </w:rPr>
              <w:t>interFrequencyMeas-NoGap-r16</w:t>
            </w:r>
            <w:r>
              <w:t>. If this parameter is indicated for FR1 and FR2 differently, each indication corresponds to the frequency range where the SSB and PDCCH/PDSCH are received.</w:t>
            </w:r>
          </w:p>
        </w:tc>
        <w:tc>
          <w:tcPr>
            <w:tcW w:w="709" w:type="dxa"/>
          </w:tcPr>
          <w:p>
            <w:pPr>
              <w:pStyle w:val="34"/>
              <w:jc w:val="center"/>
              <w:rPr>
                <w:rFonts w:cs="Arial"/>
                <w:bCs/>
                <w:iCs/>
                <w:szCs w:val="18"/>
              </w:rPr>
            </w:pPr>
            <w:r>
              <w:rPr>
                <w:rFonts w:cs="Arial"/>
                <w:bCs/>
                <w:iCs/>
                <w:szCs w:val="18"/>
              </w:rPr>
              <w:t>UE</w:t>
            </w:r>
          </w:p>
        </w:tc>
        <w:tc>
          <w:tcPr>
            <w:tcW w:w="564" w:type="dxa"/>
          </w:tcPr>
          <w:p>
            <w:pPr>
              <w:pStyle w:val="34"/>
              <w:jc w:val="center"/>
              <w:rPr>
                <w:rFonts w:cs="Arial"/>
                <w:bCs/>
                <w:iCs/>
                <w:szCs w:val="18"/>
              </w:rPr>
            </w:pPr>
            <w:r>
              <w:rPr>
                <w:rFonts w:cs="Arial"/>
                <w:bCs/>
                <w:iCs/>
                <w:szCs w:val="18"/>
              </w:rPr>
              <w:t>No</w:t>
            </w:r>
          </w:p>
        </w:tc>
        <w:tc>
          <w:tcPr>
            <w:tcW w:w="712" w:type="dxa"/>
          </w:tcPr>
          <w:p>
            <w:pPr>
              <w:pStyle w:val="34"/>
              <w:jc w:val="center"/>
              <w:rPr>
                <w:rFonts w:cs="Arial"/>
                <w:bCs/>
                <w:iCs/>
                <w:szCs w:val="18"/>
              </w:rPr>
            </w:pPr>
            <w:r>
              <w:rPr>
                <w:rFonts w:cs="Arial"/>
                <w:bCs/>
                <w:iCs/>
                <w:szCs w:val="18"/>
              </w:rPr>
              <w:t>No</w:t>
            </w:r>
          </w:p>
        </w:tc>
        <w:tc>
          <w:tcPr>
            <w:tcW w:w="737" w:type="dxa"/>
          </w:tcPr>
          <w:p>
            <w:pPr>
              <w:pStyle w:val="34"/>
              <w:jc w:val="center"/>
              <w:rPr>
                <w:rFonts w:eastAsia="MS Mincho" w:cs="Arial"/>
                <w:bCs/>
                <w:iCs/>
                <w:szCs w:val="18"/>
              </w:rPr>
            </w:pPr>
            <w:r>
              <w:rPr>
                <w:rFonts w:eastAsia="MS Mincho" w:cs="Arial"/>
                <w:bCs/>
                <w:iCs/>
                <w:szCs w:val="18"/>
              </w:rPr>
              <w:t>Yes</w:t>
            </w:r>
          </w:p>
        </w:tc>
      </w:tr>
    </w:tbl>
    <w:p>
      <w:pPr>
        <w:pStyle w:val="8"/>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Combined with the specification in [4], the UE capability of </w:t>
      </w:r>
      <w:r>
        <w:rPr>
          <w:rFonts w:hint="eastAsia" w:eastAsia="宋体"/>
          <w:i/>
          <w:iCs/>
          <w:color w:val="auto"/>
          <w:sz w:val="21"/>
          <w:szCs w:val="21"/>
          <w:lang w:val="en-US" w:eastAsia="zh-CN"/>
        </w:rPr>
        <w:t>simultaneousRxDataSSB-DiffNumerology</w:t>
      </w:r>
      <w:r>
        <w:rPr>
          <w:rFonts w:hint="eastAsia" w:eastAsia="宋体"/>
          <w:color w:val="auto"/>
          <w:sz w:val="21"/>
          <w:szCs w:val="21"/>
          <w:lang w:val="en-US" w:eastAsia="zh-CN"/>
        </w:rPr>
        <w:t xml:space="preserve"> is only applicable for FR1, not for FR2. While the UE capability of </w:t>
      </w:r>
      <w:r>
        <w:rPr>
          <w:rFonts w:hint="eastAsia" w:eastAsia="宋体"/>
          <w:i/>
          <w:iCs/>
          <w:color w:val="auto"/>
          <w:sz w:val="21"/>
          <w:szCs w:val="21"/>
          <w:lang w:val="en-US" w:eastAsia="zh-CN"/>
        </w:rPr>
        <w:t>simultaneousRxDataSSB-DiffNumerology-Inter-r16</w:t>
      </w:r>
      <w:r>
        <w:rPr>
          <w:rFonts w:hint="eastAsia" w:eastAsia="宋体"/>
          <w:color w:val="auto"/>
          <w:sz w:val="21"/>
          <w:szCs w:val="21"/>
          <w:lang w:val="en-US" w:eastAsia="zh-CN"/>
        </w:rPr>
        <w:t xml:space="preserve"> seems universal for both FR1 and FR2 but indicated respectively. However as an accessory of the R16 UE capability </w:t>
      </w:r>
      <w:r>
        <w:rPr>
          <w:rFonts w:hint="eastAsia" w:eastAsia="宋体"/>
          <w:i/>
          <w:iCs/>
          <w:color w:val="auto"/>
          <w:sz w:val="21"/>
          <w:szCs w:val="21"/>
          <w:lang w:val="en-US" w:eastAsia="zh-CN"/>
        </w:rPr>
        <w:t>interFrequencyMeas-NoGap-r16</w:t>
      </w:r>
      <w:r>
        <w:rPr>
          <w:rFonts w:hint="eastAsia" w:eastAsia="宋体"/>
          <w:color w:val="auto"/>
          <w:sz w:val="21"/>
          <w:szCs w:val="21"/>
          <w:lang w:val="en-US" w:eastAsia="zh-CN"/>
        </w:rPr>
        <w:t xml:space="preserve">, UE capable of </w:t>
      </w:r>
      <w:r>
        <w:rPr>
          <w:rFonts w:hint="eastAsia" w:eastAsia="宋体"/>
          <w:i/>
          <w:iCs/>
          <w:color w:val="auto"/>
          <w:sz w:val="21"/>
          <w:szCs w:val="21"/>
          <w:lang w:val="en-US" w:eastAsia="zh-CN"/>
        </w:rPr>
        <w:t>simultaneousRxDataSSB-DiffNumerology-Inter-r16</w:t>
      </w:r>
      <w:r>
        <w:rPr>
          <w:rFonts w:hint="eastAsia" w:eastAsia="宋体"/>
          <w:color w:val="auto"/>
          <w:sz w:val="21"/>
          <w:szCs w:val="21"/>
          <w:lang w:val="en-US" w:eastAsia="zh-CN"/>
        </w:rPr>
        <w:t xml:space="preserve"> should always accompany with the support of  </w:t>
      </w:r>
      <w:r>
        <w:rPr>
          <w:rFonts w:hint="eastAsia" w:eastAsia="宋体"/>
          <w:i/>
          <w:iCs/>
          <w:color w:val="auto"/>
          <w:sz w:val="21"/>
          <w:szCs w:val="21"/>
          <w:lang w:val="en-US" w:eastAsia="zh-CN"/>
        </w:rPr>
        <w:t>interFrequencyMeas-NoGap-r16,</w:t>
      </w:r>
      <w:r>
        <w:rPr>
          <w:rFonts w:hint="eastAsia" w:eastAsia="宋体"/>
          <w:color w:val="auto"/>
          <w:sz w:val="21"/>
          <w:szCs w:val="21"/>
          <w:lang w:val="en-US" w:eastAsia="zh-CN"/>
        </w:rPr>
        <w:t xml:space="preserve"> i.e. the applicability restriction exists.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The UE capability of simultaneousRxDataSSB-DiffNumerology is only applicable for FR1, not for FR2.</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4: The UE capability of simultaneousRxDataSSB-DiffNumerology-Inter-r16 seems universal for both FR1 and FR2 but indicated respectively. While UE capable of simultaneousRxDataSSB-DiffNumerology-Inter-r16 should always accompany with the support of  interFrequencyMeas-NoGap-r16, i.e. the applicability restriction exists.</w:t>
      </w:r>
    </w:p>
    <w:p>
      <w:pPr>
        <w:pStyle w:val="8"/>
        <w:rPr>
          <w:rFonts w:hint="default" w:eastAsia="宋体" w:cs="Times New Roman"/>
          <w:b/>
          <w:bCs/>
          <w:color w:val="auto"/>
          <w:sz w:val="20"/>
          <w:szCs w:val="20"/>
          <w:highlight w:val="none"/>
          <w:lang w:val="en-US" w:eastAsia="zh-CN" w:bidi="ar-SA"/>
        </w:rPr>
      </w:pPr>
      <w:r>
        <w:rPr>
          <w:rFonts w:hint="eastAsia" w:eastAsia="宋体"/>
          <w:color w:val="auto"/>
          <w:sz w:val="21"/>
          <w:szCs w:val="21"/>
          <w:lang w:val="en-US" w:eastAsia="zh-CN"/>
        </w:rPr>
        <w:t xml:space="preserve">Based on the above analysis, in our opinion, the existing UE capability </w:t>
      </w:r>
      <w:r>
        <w:rPr>
          <w:rFonts w:hint="eastAsia" w:eastAsia="宋体"/>
          <w:i/>
          <w:iCs/>
          <w:color w:val="auto"/>
          <w:sz w:val="21"/>
          <w:szCs w:val="21"/>
          <w:lang w:val="en-US" w:eastAsia="zh-CN"/>
        </w:rPr>
        <w:t>simultaneousRxDataSSB-DiffNumerology-Inter-r16</w:t>
      </w:r>
      <w:r>
        <w:rPr>
          <w:rFonts w:hint="eastAsia" w:eastAsia="宋体"/>
          <w:color w:val="auto"/>
          <w:sz w:val="21"/>
          <w:szCs w:val="21"/>
          <w:lang w:val="en-US" w:eastAsia="zh-CN"/>
        </w:rPr>
        <w:t xml:space="preserve"> is not suitable for R18 multi-panel reception since of the inherent applicability restriction. Referring to the existing UE capability </w:t>
      </w:r>
      <w:r>
        <w:rPr>
          <w:rFonts w:hint="eastAsia" w:eastAsia="宋体"/>
          <w:i/>
          <w:iCs/>
          <w:color w:val="auto"/>
          <w:sz w:val="21"/>
          <w:szCs w:val="21"/>
          <w:lang w:val="en-US" w:eastAsia="zh-CN"/>
        </w:rPr>
        <w:t>simultaneousRxDataSSB-DiffNumerology</w:t>
      </w:r>
      <w:r>
        <w:rPr>
          <w:rFonts w:hint="eastAsia" w:eastAsia="宋体"/>
          <w:color w:val="auto"/>
          <w:sz w:val="21"/>
          <w:szCs w:val="21"/>
          <w:lang w:val="en-US" w:eastAsia="zh-CN"/>
        </w:rPr>
        <w:t>, if the supporting of concurrent SSB and data are consistent between FR1 and FR2-1, reusing this UE capability is feasible. But, it should be ultimately determined after the decision of single or multiple UE capabilities are necessary.</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6: The existing UE capability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is not suitable for R18 multi-panel reception since of the inherent applicability restriction.</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7: The existing UE capability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feasible if the supporting of concurrent SSB and data are consistent between FR1 and FR2-1. But it should be ultimately determined after the decision of single or multiple UE capabilities are necessary.</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applicability and condition of RRM requirements for simultaneous DL reception from different directions</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From the perspective of configuration, QCL Type A/C are mandatory in a TCI state configuration while QCL Type D is optional.</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Considering the UE moving and inter-cell scenario, the potential impact due to QCL Type A/C are need to be included when we discuss the RRM enhancement for the simultaneous DL reception.</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intra-cell mTRP, we believe all the following combinations should be supported:</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Simultaneous RS + RS under intra-cell mTRP   </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data + data under intra-cell mTRP</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Simultaneous RS + data under intra-cell mTRP</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For inter-cell mTRP(if decided to be included in the WI), at least the following combinations should be supported:</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Simultaneous RS + RS under inter-cell mTRP from serving cell and non-serving cell</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Simultaneous data + data under inter-cell mTRP from serving cell and non-serving cell</w:t>
      </w:r>
    </w:p>
    <w:p>
      <w:pPr>
        <w:pStyle w:val="8"/>
        <w:numPr>
          <w:ilvl w:val="0"/>
          <w:numId w:val="7"/>
        </w:numPr>
        <w:tabs>
          <w:tab w:val="left" w:pos="226"/>
          <w:tab w:val="left" w:pos="284"/>
          <w:tab w:val="left" w:pos="5103"/>
        </w:tabs>
        <w:snapToGrid w:val="0"/>
        <w:spacing w:before="156" w:beforeLines="50"/>
        <w:ind w:left="420" w:leftChars="0" w:hanging="420" w:firstLineChars="0"/>
        <w:rPr>
          <w:rFonts w:hint="eastAsia"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Simultaneous RS + data under inter-cell mTRP from serving cell and non-serving cell</w:t>
      </w:r>
    </w:p>
    <w:p>
      <w:pPr>
        <w:pStyle w:val="8"/>
        <w:numPr>
          <w:ilvl w:val="0"/>
          <w:numId w:val="0"/>
        </w:numPr>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detectable condition, all RSs in the same QCL chain for the target TCI state should remain detectable during the entire measurement/switch period.</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2: The R16 UE capability </w:t>
      </w:r>
      <w:r>
        <w:rPr>
          <w:rFonts w:hint="eastAsia" w:eastAsia="宋体" w:cs="Times New Roman"/>
          <w:b/>
          <w:bCs/>
          <w:i/>
          <w:iCs/>
          <w:color w:val="auto"/>
          <w:sz w:val="20"/>
          <w:szCs w:val="20"/>
          <w:highlight w:val="none"/>
          <w:lang w:val="en-US" w:eastAsia="zh-CN" w:bidi="ar-SA"/>
        </w:rPr>
        <w:t>simultaneousReceptionDiffTypeD</w:t>
      </w:r>
      <w:r>
        <w:rPr>
          <w:rFonts w:hint="eastAsia" w:eastAsia="宋体" w:cs="Times New Roman"/>
          <w:b/>
          <w:bCs/>
          <w:color w:val="auto"/>
          <w:sz w:val="20"/>
          <w:szCs w:val="20"/>
          <w:highlight w:val="none"/>
          <w:lang w:val="en-US" w:eastAsia="zh-CN" w:bidi="ar-SA"/>
        </w:rPr>
        <w:t xml:space="preserve"> is only applicable for PDSCH not even for PDCCH.</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It is preferred to introduce a new UE capability rather than reuse the existing R16 </w:t>
      </w:r>
      <w:r>
        <w:rPr>
          <w:rFonts w:hint="eastAsia" w:eastAsia="宋体" w:cs="Times New Roman"/>
          <w:b/>
          <w:bCs/>
          <w:i/>
          <w:iCs/>
          <w:color w:val="auto"/>
          <w:sz w:val="20"/>
          <w:szCs w:val="20"/>
          <w:highlight w:val="none"/>
          <w:lang w:val="en-US" w:eastAsia="zh-CN" w:bidi="ar-SA"/>
        </w:rPr>
        <w:t>simultaneousReceptionDiffTypeD</w:t>
      </w:r>
      <w:r>
        <w:rPr>
          <w:rFonts w:hint="eastAsia" w:eastAsia="宋体" w:cs="Times New Roman"/>
          <w:b/>
          <w:bCs/>
          <w:color w:val="auto"/>
          <w:sz w:val="20"/>
          <w:szCs w:val="20"/>
          <w:highlight w:val="none"/>
          <w:lang w:val="en-US" w:eastAsia="zh-CN" w:bidi="ar-SA"/>
        </w:rPr>
        <w:t xml:space="preserve"> to indicate the support ofsimultaneous multi-panle reception from two directions in FR2-1.</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Whether using a single UE capability or multiple UE capabilities to indicate the support of multi-panel reception, which should be decided based on the conclusion of supported combinations in this WI. So it is better to firstly identify the supported combinations in this WI. Then the decision between Solution 1 and Solution 2 can be identified from the perspective of whether a unified UE capability is enough or not.</w:t>
      </w:r>
    </w:p>
    <w:p>
      <w:pPr>
        <w:pStyle w:val="8"/>
        <w:ind w:leftChars="10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Solution 1: Only a single UE capability is needed, which is applicable for all supported combinations of simultaneous reception between L1 RS, L3 RS and data</w:t>
      </w:r>
    </w:p>
    <w:p>
      <w:pPr>
        <w:pStyle w:val="8"/>
        <w:ind w:leftChars="100"/>
        <w:rPr>
          <w:rFonts w:hint="default" w:eastAsia="宋体" w:cs="Times New Roman"/>
          <w:b/>
          <w:bCs/>
          <w:color w:val="auto"/>
          <w:sz w:val="20"/>
          <w:szCs w:val="20"/>
          <w:highlight w:val="none"/>
          <w:lang w:val="en-US" w:eastAsia="zh-CN" w:bidi="ar-SA"/>
        </w:rPr>
      </w:pPr>
      <w:r>
        <w:rPr>
          <w:rFonts w:hint="default" w:eastAsia="宋体" w:cs="Times New Roman"/>
          <w:b/>
          <w:bCs/>
          <w:color w:val="auto"/>
          <w:sz w:val="20"/>
          <w:szCs w:val="20"/>
          <w:highlight w:val="none"/>
          <w:lang w:val="en-US" w:eastAsia="zh-CN" w:bidi="ar-SA"/>
        </w:rPr>
        <w:t>Solution 2: Multiple UE capabilities are necessary, and each of them indicates the support of one kind of combinations. E.g UE capability X1 indicates the support of simultaneous data+data reception; UE capability X2 indicates the support of simultaneous L1 RS + L1 RS/data reception; UE capability X3 indicates the support of L3 RS + L3 RS/L1 RS/data reception.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The UE capability of simultaneousRxDataSSB-DiffNumerology is only applicable for FR1, not for FR2.</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4: The UE capability of simultaneousRxDataSSB-DiffNumerology-Inter-r16 seems universal for both FR1 and FR2 but indicated respectively. While UE capable of simultaneousRxDataSSB-DiffNumerology-Inter-r16 should always accompany with the support of  interFrequencyMeas-NoGap-r16, i.e. the applicability restriction exists.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6: The existing UE capability </w:t>
      </w:r>
      <w:r>
        <w:rPr>
          <w:rFonts w:hint="eastAsia" w:eastAsia="宋体" w:cs="Times New Roman"/>
          <w:b/>
          <w:bCs/>
          <w:i/>
          <w:iCs/>
          <w:color w:val="auto"/>
          <w:sz w:val="20"/>
          <w:szCs w:val="20"/>
          <w:highlight w:val="none"/>
          <w:lang w:val="en-US" w:eastAsia="zh-CN" w:bidi="ar-SA"/>
        </w:rPr>
        <w:t>simultaneousRxDataSSB-DiffNumerology-Inter-r16</w:t>
      </w:r>
      <w:r>
        <w:rPr>
          <w:rFonts w:hint="eastAsia" w:eastAsia="宋体" w:cs="Times New Roman"/>
          <w:b/>
          <w:bCs/>
          <w:color w:val="auto"/>
          <w:sz w:val="20"/>
          <w:szCs w:val="20"/>
          <w:highlight w:val="none"/>
          <w:lang w:val="en-US" w:eastAsia="zh-CN" w:bidi="ar-SA"/>
        </w:rPr>
        <w:t xml:space="preserve"> is not suitable for R18 multi-panel reception since of the inherent applicability restriction.</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7: The existing UE capability </w:t>
      </w:r>
      <w:r>
        <w:rPr>
          <w:rFonts w:hint="eastAsia" w:eastAsia="宋体" w:cs="Times New Roman"/>
          <w:b/>
          <w:bCs/>
          <w:i/>
          <w:iCs/>
          <w:color w:val="auto"/>
          <w:sz w:val="20"/>
          <w:szCs w:val="20"/>
          <w:highlight w:val="none"/>
          <w:lang w:val="en-US" w:eastAsia="zh-CN" w:bidi="ar-SA"/>
        </w:rPr>
        <w:t>simultaneousRxDataSSB-DiffNumerology</w:t>
      </w:r>
      <w:r>
        <w:rPr>
          <w:rFonts w:hint="eastAsia" w:eastAsia="宋体" w:cs="Times New Roman"/>
          <w:b/>
          <w:bCs/>
          <w:color w:val="auto"/>
          <w:sz w:val="20"/>
          <w:szCs w:val="20"/>
          <w:highlight w:val="none"/>
          <w:lang w:val="en-US" w:eastAsia="zh-CN" w:bidi="ar-SA"/>
        </w:rPr>
        <w:t xml:space="preserve"> is feasible if the supporting of concurrent SSB and data are consistent between FR1 and FR2-1. But it should be ultimately determined after the decision of single or multiple UE capabilities are necessary.</w:t>
      </w:r>
    </w:p>
    <w:p>
      <w:pPr>
        <w:pStyle w:val="8"/>
        <w:numPr>
          <w:ilvl w:val="0"/>
          <w:numId w:val="0"/>
        </w:numPr>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1753</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8"/>
        </w:numPr>
        <w:ind w:leftChars="0"/>
        <w:rPr>
          <w:rFonts w:hint="default"/>
          <w:color w:val="auto"/>
          <w:highlight w:val="none"/>
          <w:lang w:val="en-US" w:eastAsia="zh-CN"/>
        </w:rPr>
      </w:pPr>
      <w:r>
        <w:rPr>
          <w:rFonts w:hint="eastAsia"/>
          <w:color w:val="auto"/>
          <w:highlight w:val="none"/>
          <w:lang w:val="en-US" w:eastAsia="zh-CN"/>
        </w:rPr>
        <w:t xml:space="preserve">R4-2217246 </w:t>
      </w:r>
      <w:r>
        <w:rPr>
          <w:rFonts w:hint="default"/>
          <w:color w:val="auto"/>
          <w:highlight w:val="none"/>
          <w:lang w:val="en-US" w:eastAsia="zh-CN"/>
        </w:rPr>
        <w:t>“WF on RRM impacts and general aspects for multi-Rx”</w:t>
      </w:r>
      <w:r>
        <w:rPr>
          <w:rFonts w:hint="eastAsia"/>
          <w:color w:val="auto"/>
          <w:highlight w:val="none"/>
          <w:lang w:val="en-US" w:eastAsia="zh-CN"/>
        </w:rPr>
        <w:t>, vivo.</w:t>
      </w:r>
    </w:p>
    <w:p>
      <w:pPr>
        <w:pStyle w:val="9"/>
        <w:numPr>
          <w:ilvl w:val="0"/>
          <w:numId w:val="8"/>
        </w:numPr>
        <w:ind w:leftChars="0"/>
        <w:rPr>
          <w:rFonts w:hint="default"/>
          <w:color w:val="auto"/>
          <w:highlight w:val="none"/>
          <w:lang w:val="en-US" w:eastAsia="zh-CN"/>
        </w:rPr>
      </w:pPr>
      <w:r>
        <w:rPr>
          <w:rFonts w:hint="eastAsia"/>
          <w:color w:val="auto"/>
          <w:highlight w:val="none"/>
          <w:lang w:val="en-US" w:eastAsia="zh-CN"/>
        </w:rPr>
        <w:t>TS38.306-h20</w:t>
      </w:r>
    </w:p>
    <w:p>
      <w:pPr>
        <w:pStyle w:val="9"/>
        <w:numPr>
          <w:ilvl w:val="0"/>
          <w:numId w:val="8"/>
        </w:numPr>
        <w:ind w:leftChars="0"/>
        <w:rPr>
          <w:rFonts w:hint="default"/>
          <w:color w:val="auto"/>
          <w:highlight w:val="none"/>
          <w:lang w:val="en-US" w:eastAsia="zh-CN"/>
        </w:rPr>
      </w:pPr>
      <w:r>
        <w:rPr>
          <w:rFonts w:hint="eastAsia"/>
          <w:color w:val="auto"/>
          <w:highlight w:val="none"/>
          <w:lang w:val="en-US" w:eastAsia="zh-CN"/>
        </w:rPr>
        <w:t>TS38.133-h70</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09E0C265"/>
    <w:multiLevelType w:val="singleLevel"/>
    <w:tmpl w:val="09E0C265"/>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7C32FD6"/>
    <w:multiLevelType w:val="multilevel"/>
    <w:tmpl w:val="27C32FD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4">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5">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5"/>
  </w:num>
  <w:num w:numId="3">
    <w:abstractNumId w:val="2"/>
  </w:num>
  <w:num w:numId="4">
    <w:abstractNumId w:val="4"/>
  </w:num>
  <w:num w:numId="5">
    <w:abstractNumId w:val="3"/>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122247"/>
    <w:rsid w:val="022C3A09"/>
    <w:rsid w:val="028B6A1D"/>
    <w:rsid w:val="028F1C3E"/>
    <w:rsid w:val="037D0CB3"/>
    <w:rsid w:val="03D4720A"/>
    <w:rsid w:val="03E04DEA"/>
    <w:rsid w:val="04654053"/>
    <w:rsid w:val="04793516"/>
    <w:rsid w:val="047A3CFF"/>
    <w:rsid w:val="04885243"/>
    <w:rsid w:val="04A614F6"/>
    <w:rsid w:val="05317828"/>
    <w:rsid w:val="05477E90"/>
    <w:rsid w:val="05BB5AB9"/>
    <w:rsid w:val="05C42923"/>
    <w:rsid w:val="05F562DB"/>
    <w:rsid w:val="06963BA6"/>
    <w:rsid w:val="06965F3C"/>
    <w:rsid w:val="071C31BC"/>
    <w:rsid w:val="07CD3CDD"/>
    <w:rsid w:val="084B363C"/>
    <w:rsid w:val="0855671D"/>
    <w:rsid w:val="089009EB"/>
    <w:rsid w:val="09395C1E"/>
    <w:rsid w:val="09716BCA"/>
    <w:rsid w:val="098C1CEA"/>
    <w:rsid w:val="09D64B23"/>
    <w:rsid w:val="09E644B8"/>
    <w:rsid w:val="0B12013A"/>
    <w:rsid w:val="0B1C5C6A"/>
    <w:rsid w:val="0B243EFB"/>
    <w:rsid w:val="0B3D3C2F"/>
    <w:rsid w:val="0B5D15B4"/>
    <w:rsid w:val="0BAC06FA"/>
    <w:rsid w:val="0BB0429A"/>
    <w:rsid w:val="0BFF5FC6"/>
    <w:rsid w:val="0C276675"/>
    <w:rsid w:val="0C394019"/>
    <w:rsid w:val="0C443848"/>
    <w:rsid w:val="0EC91588"/>
    <w:rsid w:val="0F12673C"/>
    <w:rsid w:val="0F8009F9"/>
    <w:rsid w:val="103765F0"/>
    <w:rsid w:val="10997F43"/>
    <w:rsid w:val="10DE7BAE"/>
    <w:rsid w:val="11023BFD"/>
    <w:rsid w:val="110404BB"/>
    <w:rsid w:val="111C20F6"/>
    <w:rsid w:val="11ED345F"/>
    <w:rsid w:val="120774A3"/>
    <w:rsid w:val="12580C13"/>
    <w:rsid w:val="136E2316"/>
    <w:rsid w:val="13A463A1"/>
    <w:rsid w:val="14006D19"/>
    <w:rsid w:val="1414436B"/>
    <w:rsid w:val="1481754F"/>
    <w:rsid w:val="148F5721"/>
    <w:rsid w:val="14AC57CD"/>
    <w:rsid w:val="15ED3E9B"/>
    <w:rsid w:val="15FE3185"/>
    <w:rsid w:val="164514BE"/>
    <w:rsid w:val="170F06AA"/>
    <w:rsid w:val="17225508"/>
    <w:rsid w:val="180A6E32"/>
    <w:rsid w:val="183F2CD2"/>
    <w:rsid w:val="1856323E"/>
    <w:rsid w:val="18AF55E3"/>
    <w:rsid w:val="18B1519A"/>
    <w:rsid w:val="18CD0507"/>
    <w:rsid w:val="195D7D48"/>
    <w:rsid w:val="19852D03"/>
    <w:rsid w:val="1A6F1A83"/>
    <w:rsid w:val="1AD01A1B"/>
    <w:rsid w:val="1B61065A"/>
    <w:rsid w:val="1B6C3593"/>
    <w:rsid w:val="1BBF3927"/>
    <w:rsid w:val="1C177B08"/>
    <w:rsid w:val="1C9001C6"/>
    <w:rsid w:val="1CBA2101"/>
    <w:rsid w:val="1D0573D7"/>
    <w:rsid w:val="1D153DC4"/>
    <w:rsid w:val="1D223E0B"/>
    <w:rsid w:val="1D3A54CD"/>
    <w:rsid w:val="1DF33EB1"/>
    <w:rsid w:val="1E132F88"/>
    <w:rsid w:val="1E2867E9"/>
    <w:rsid w:val="1E853F6F"/>
    <w:rsid w:val="1E9C7BCC"/>
    <w:rsid w:val="1ECC1E3C"/>
    <w:rsid w:val="1FFD4083"/>
    <w:rsid w:val="202F3D4C"/>
    <w:rsid w:val="21014C39"/>
    <w:rsid w:val="21045DF0"/>
    <w:rsid w:val="21244EB1"/>
    <w:rsid w:val="213964D8"/>
    <w:rsid w:val="21595D04"/>
    <w:rsid w:val="21835807"/>
    <w:rsid w:val="21F13629"/>
    <w:rsid w:val="22957446"/>
    <w:rsid w:val="2305377E"/>
    <w:rsid w:val="231A76D5"/>
    <w:rsid w:val="24122135"/>
    <w:rsid w:val="24D4257E"/>
    <w:rsid w:val="24F5519F"/>
    <w:rsid w:val="2572202B"/>
    <w:rsid w:val="2605683C"/>
    <w:rsid w:val="26661176"/>
    <w:rsid w:val="26BB1419"/>
    <w:rsid w:val="27315D1D"/>
    <w:rsid w:val="27B748AA"/>
    <w:rsid w:val="27CB4CB9"/>
    <w:rsid w:val="281C2F58"/>
    <w:rsid w:val="292D5BF2"/>
    <w:rsid w:val="292F6239"/>
    <w:rsid w:val="29642C4B"/>
    <w:rsid w:val="29A66B9A"/>
    <w:rsid w:val="2A34628C"/>
    <w:rsid w:val="2A724D05"/>
    <w:rsid w:val="2A7E505C"/>
    <w:rsid w:val="2AAD7E69"/>
    <w:rsid w:val="2AC85686"/>
    <w:rsid w:val="2AD04B5F"/>
    <w:rsid w:val="2B39549B"/>
    <w:rsid w:val="2BC05B2C"/>
    <w:rsid w:val="2BD617C5"/>
    <w:rsid w:val="2C112837"/>
    <w:rsid w:val="2C360608"/>
    <w:rsid w:val="2D127B6F"/>
    <w:rsid w:val="2E014790"/>
    <w:rsid w:val="2EE77680"/>
    <w:rsid w:val="2F2F0FC8"/>
    <w:rsid w:val="301C6BB6"/>
    <w:rsid w:val="30723652"/>
    <w:rsid w:val="30766FB2"/>
    <w:rsid w:val="319708F2"/>
    <w:rsid w:val="31B14C9E"/>
    <w:rsid w:val="31FE2981"/>
    <w:rsid w:val="33C522D7"/>
    <w:rsid w:val="33F228A5"/>
    <w:rsid w:val="34807672"/>
    <w:rsid w:val="351B1E30"/>
    <w:rsid w:val="358E5935"/>
    <w:rsid w:val="35B06C6A"/>
    <w:rsid w:val="36941AA2"/>
    <w:rsid w:val="36D37423"/>
    <w:rsid w:val="379D23F9"/>
    <w:rsid w:val="37E74183"/>
    <w:rsid w:val="3A054591"/>
    <w:rsid w:val="3A185287"/>
    <w:rsid w:val="3A1F46B8"/>
    <w:rsid w:val="3A692CD0"/>
    <w:rsid w:val="3AE162E7"/>
    <w:rsid w:val="3B270929"/>
    <w:rsid w:val="3B3D5571"/>
    <w:rsid w:val="3B5D276F"/>
    <w:rsid w:val="3B673620"/>
    <w:rsid w:val="3B9A1F29"/>
    <w:rsid w:val="3C2A4F22"/>
    <w:rsid w:val="3CE4646B"/>
    <w:rsid w:val="3D5E7AA8"/>
    <w:rsid w:val="3D6F2596"/>
    <w:rsid w:val="3F7F3061"/>
    <w:rsid w:val="405F175E"/>
    <w:rsid w:val="40C765F3"/>
    <w:rsid w:val="41C755BE"/>
    <w:rsid w:val="4219614A"/>
    <w:rsid w:val="428104DA"/>
    <w:rsid w:val="42F869D2"/>
    <w:rsid w:val="43553536"/>
    <w:rsid w:val="44972678"/>
    <w:rsid w:val="451632B9"/>
    <w:rsid w:val="45906394"/>
    <w:rsid w:val="45F60A50"/>
    <w:rsid w:val="46142D0C"/>
    <w:rsid w:val="46970A81"/>
    <w:rsid w:val="46B036BF"/>
    <w:rsid w:val="47282363"/>
    <w:rsid w:val="476B3528"/>
    <w:rsid w:val="47C726B0"/>
    <w:rsid w:val="49087C07"/>
    <w:rsid w:val="49DC4EAC"/>
    <w:rsid w:val="49E55BC5"/>
    <w:rsid w:val="4A5B6F05"/>
    <w:rsid w:val="4C1C63D6"/>
    <w:rsid w:val="4C864A35"/>
    <w:rsid w:val="4E015C76"/>
    <w:rsid w:val="4E310026"/>
    <w:rsid w:val="4E4A2325"/>
    <w:rsid w:val="4E702749"/>
    <w:rsid w:val="4EC85323"/>
    <w:rsid w:val="4EDB3464"/>
    <w:rsid w:val="501A6C55"/>
    <w:rsid w:val="51234069"/>
    <w:rsid w:val="51B14BED"/>
    <w:rsid w:val="52526454"/>
    <w:rsid w:val="525C1CEF"/>
    <w:rsid w:val="528B5767"/>
    <w:rsid w:val="52A77D4F"/>
    <w:rsid w:val="52D33625"/>
    <w:rsid w:val="52FD1C01"/>
    <w:rsid w:val="52FD33B4"/>
    <w:rsid w:val="5372021A"/>
    <w:rsid w:val="53A3105E"/>
    <w:rsid w:val="53C64B93"/>
    <w:rsid w:val="540D5091"/>
    <w:rsid w:val="548A6C60"/>
    <w:rsid w:val="54E07F19"/>
    <w:rsid w:val="55B1164D"/>
    <w:rsid w:val="55B4735E"/>
    <w:rsid w:val="55BB221D"/>
    <w:rsid w:val="56371459"/>
    <w:rsid w:val="56484633"/>
    <w:rsid w:val="58D0053D"/>
    <w:rsid w:val="59064002"/>
    <w:rsid w:val="598C40A0"/>
    <w:rsid w:val="59DA647E"/>
    <w:rsid w:val="5A556E1A"/>
    <w:rsid w:val="5C1166E3"/>
    <w:rsid w:val="5E2864D0"/>
    <w:rsid w:val="5E494511"/>
    <w:rsid w:val="5EB44FC0"/>
    <w:rsid w:val="5EB81F13"/>
    <w:rsid w:val="5EDA64BC"/>
    <w:rsid w:val="5FBA395F"/>
    <w:rsid w:val="60B92183"/>
    <w:rsid w:val="60EC2CBA"/>
    <w:rsid w:val="61CC2D28"/>
    <w:rsid w:val="630C63B9"/>
    <w:rsid w:val="635902CD"/>
    <w:rsid w:val="642A3E76"/>
    <w:rsid w:val="645E1DDB"/>
    <w:rsid w:val="64706BBE"/>
    <w:rsid w:val="64F2095B"/>
    <w:rsid w:val="65267327"/>
    <w:rsid w:val="65D63F94"/>
    <w:rsid w:val="66A92706"/>
    <w:rsid w:val="67A858DB"/>
    <w:rsid w:val="67FE4166"/>
    <w:rsid w:val="687E1815"/>
    <w:rsid w:val="68AD2162"/>
    <w:rsid w:val="68C401C3"/>
    <w:rsid w:val="69045D7F"/>
    <w:rsid w:val="693027BF"/>
    <w:rsid w:val="6968769B"/>
    <w:rsid w:val="69831B57"/>
    <w:rsid w:val="69A833BD"/>
    <w:rsid w:val="6A5D78D5"/>
    <w:rsid w:val="6A85354A"/>
    <w:rsid w:val="6C8E0C06"/>
    <w:rsid w:val="6D566F0F"/>
    <w:rsid w:val="6D836F72"/>
    <w:rsid w:val="6DDE3DAF"/>
    <w:rsid w:val="6E2C7D5B"/>
    <w:rsid w:val="6E3241BE"/>
    <w:rsid w:val="6EB97A9D"/>
    <w:rsid w:val="6EF10A90"/>
    <w:rsid w:val="6FD45BF8"/>
    <w:rsid w:val="6FFF1868"/>
    <w:rsid w:val="71507435"/>
    <w:rsid w:val="715F4C2D"/>
    <w:rsid w:val="71E40FCE"/>
    <w:rsid w:val="722F78FB"/>
    <w:rsid w:val="723D67C5"/>
    <w:rsid w:val="7250627B"/>
    <w:rsid w:val="72BF60CA"/>
    <w:rsid w:val="72F41282"/>
    <w:rsid w:val="733D0D32"/>
    <w:rsid w:val="73D411F1"/>
    <w:rsid w:val="753811DE"/>
    <w:rsid w:val="757733D9"/>
    <w:rsid w:val="75A7114C"/>
    <w:rsid w:val="75BE67D4"/>
    <w:rsid w:val="75C2004C"/>
    <w:rsid w:val="75C759C1"/>
    <w:rsid w:val="760F5DAE"/>
    <w:rsid w:val="762D64F3"/>
    <w:rsid w:val="767E7EFF"/>
    <w:rsid w:val="775B4604"/>
    <w:rsid w:val="77C067C3"/>
    <w:rsid w:val="78911E31"/>
    <w:rsid w:val="7922350F"/>
    <w:rsid w:val="792B5470"/>
    <w:rsid w:val="79C637D8"/>
    <w:rsid w:val="7A9367CB"/>
    <w:rsid w:val="7AF22571"/>
    <w:rsid w:val="7B69224B"/>
    <w:rsid w:val="7BE80F25"/>
    <w:rsid w:val="7BFA7504"/>
    <w:rsid w:val="7C1C35A7"/>
    <w:rsid w:val="7C45431D"/>
    <w:rsid w:val="7D243E1C"/>
    <w:rsid w:val="7D3219D5"/>
    <w:rsid w:val="7DDD0501"/>
    <w:rsid w:val="7DE51372"/>
    <w:rsid w:val="7E5E590F"/>
    <w:rsid w:val="7E935AFB"/>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2022-11-07T14:34:14Z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